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10" w:rsidRPr="00F356ED" w:rsidRDefault="003C1210" w:rsidP="003C1210">
      <w:pPr>
        <w:jc w:val="center"/>
        <w:rPr>
          <w:b/>
        </w:rPr>
      </w:pPr>
      <w:r w:rsidRPr="00F356ED">
        <w:rPr>
          <w:b/>
        </w:rPr>
        <w:t>Sauk Valley Community College</w:t>
      </w:r>
    </w:p>
    <w:p w:rsidR="003C1210" w:rsidRPr="00F356ED" w:rsidRDefault="003C1210" w:rsidP="003C1210">
      <w:pPr>
        <w:jc w:val="center"/>
        <w:rPr>
          <w:b/>
        </w:rPr>
      </w:pPr>
      <w:r w:rsidRPr="00F356ED">
        <w:rPr>
          <w:b/>
        </w:rPr>
        <w:t>November 27, 2017</w:t>
      </w:r>
    </w:p>
    <w:p w:rsidR="003C1210" w:rsidRPr="00F356ED" w:rsidRDefault="003C1210" w:rsidP="003C1210">
      <w:pPr>
        <w:jc w:val="center"/>
        <w:rPr>
          <w:b/>
        </w:rPr>
      </w:pPr>
    </w:p>
    <w:p w:rsidR="003C1210" w:rsidRPr="00F356ED" w:rsidRDefault="003C1210" w:rsidP="003C1210">
      <w:pPr>
        <w:jc w:val="center"/>
        <w:rPr>
          <w:b/>
        </w:rPr>
      </w:pPr>
    </w:p>
    <w:p w:rsidR="003C1210" w:rsidRPr="00F356ED" w:rsidRDefault="003C1210" w:rsidP="003C1210">
      <w:pPr>
        <w:jc w:val="right"/>
      </w:pPr>
      <w:r w:rsidRPr="00F356ED">
        <w:rPr>
          <w:b/>
          <w:u w:val="single"/>
        </w:rPr>
        <w:t>Agenda Item 3.1.1</w:t>
      </w:r>
    </w:p>
    <w:p w:rsidR="003C1210" w:rsidRPr="00BF6E08" w:rsidRDefault="003C1210" w:rsidP="003C1210">
      <w:pPr>
        <w:rPr>
          <w:highlight w:val="yellow"/>
        </w:rPr>
      </w:pPr>
    </w:p>
    <w:p w:rsidR="003C1210" w:rsidRPr="00F356ED" w:rsidRDefault="003C1210" w:rsidP="003C1210">
      <w:pPr>
        <w:ind w:left="2160" w:hanging="2160"/>
        <w:rPr>
          <w:b/>
        </w:rPr>
      </w:pPr>
      <w:r w:rsidRPr="00F356ED">
        <w:rPr>
          <w:b/>
        </w:rPr>
        <w:t>Topic:</w:t>
      </w:r>
      <w:r w:rsidRPr="00F356ED">
        <w:rPr>
          <w:b/>
        </w:rPr>
        <w:tab/>
        <w:t>College Recognition</w:t>
      </w:r>
    </w:p>
    <w:p w:rsidR="003C1210" w:rsidRPr="00F356ED" w:rsidRDefault="003C1210" w:rsidP="003C1210">
      <w:pPr>
        <w:ind w:left="2160" w:hanging="2160"/>
        <w:rPr>
          <w:b/>
        </w:rPr>
      </w:pPr>
    </w:p>
    <w:p w:rsidR="003C1210" w:rsidRPr="00F356ED" w:rsidRDefault="003C1210" w:rsidP="003C1210">
      <w:pPr>
        <w:ind w:left="2160" w:hanging="2160"/>
        <w:rPr>
          <w:b/>
        </w:rPr>
      </w:pPr>
      <w:r w:rsidRPr="00F356ED">
        <w:rPr>
          <w:b/>
        </w:rPr>
        <w:t xml:space="preserve">Strategic Vision: </w:t>
      </w:r>
      <w:r w:rsidRPr="00F356ED">
        <w:rPr>
          <w:b/>
        </w:rPr>
        <w:tab/>
        <w:t>Sauk Valley Community College will be a leader in student achievement while expanding access to higher education across the Sauk Valley region.</w:t>
      </w:r>
    </w:p>
    <w:p w:rsidR="003C1210" w:rsidRPr="00F356ED" w:rsidRDefault="003C1210" w:rsidP="003C1210">
      <w:pPr>
        <w:rPr>
          <w:b/>
        </w:rPr>
      </w:pPr>
    </w:p>
    <w:p w:rsidR="003C1210" w:rsidRPr="00F356ED" w:rsidRDefault="003C1210" w:rsidP="003C1210">
      <w:pPr>
        <w:ind w:left="2160" w:hanging="2160"/>
        <w:rPr>
          <w:b/>
        </w:rPr>
      </w:pPr>
      <w:r w:rsidRPr="00F356ED">
        <w:rPr>
          <w:b/>
        </w:rPr>
        <w:t>Presented By:</w:t>
      </w:r>
      <w:r w:rsidRPr="00F356ED">
        <w:rPr>
          <w:b/>
        </w:rPr>
        <w:tab/>
        <w:t xml:space="preserve">Dr. David </w:t>
      </w:r>
      <w:proofErr w:type="spellStart"/>
      <w:r w:rsidRPr="00F356ED">
        <w:rPr>
          <w:b/>
        </w:rPr>
        <w:t>Hellmich</w:t>
      </w:r>
      <w:proofErr w:type="spellEnd"/>
      <w:r w:rsidRPr="00F356ED">
        <w:rPr>
          <w:b/>
        </w:rPr>
        <w:t xml:space="preserve">, Dr. Steve Nunez, and Dr. Jon </w:t>
      </w:r>
      <w:proofErr w:type="spellStart"/>
      <w:r w:rsidRPr="00F356ED">
        <w:rPr>
          <w:b/>
        </w:rPr>
        <w:t>Mandrell</w:t>
      </w:r>
      <w:proofErr w:type="spellEnd"/>
    </w:p>
    <w:p w:rsidR="003C1210" w:rsidRPr="00F356ED" w:rsidRDefault="003C1210" w:rsidP="003C1210">
      <w:pPr>
        <w:rPr>
          <w:b/>
        </w:rPr>
      </w:pPr>
    </w:p>
    <w:p w:rsidR="003C1210" w:rsidRPr="00F356ED" w:rsidRDefault="003C1210" w:rsidP="003C1210">
      <w:pPr>
        <w:spacing w:line="259" w:lineRule="auto"/>
        <w:rPr>
          <w:rFonts w:eastAsia="Calibri"/>
          <w:b/>
        </w:rPr>
      </w:pPr>
      <w:r w:rsidRPr="00F356ED">
        <w:rPr>
          <w:rFonts w:eastAsia="Calibri"/>
          <w:b/>
        </w:rPr>
        <w:t>Presentation:</w:t>
      </w:r>
    </w:p>
    <w:p w:rsidR="003C1210" w:rsidRPr="00F356ED" w:rsidRDefault="003C1210" w:rsidP="003C1210">
      <w:pPr>
        <w:spacing w:line="259" w:lineRule="auto"/>
        <w:ind w:firstLine="720"/>
        <w:rPr>
          <w:rFonts w:eastAsia="Calibri"/>
        </w:rPr>
      </w:pPr>
      <w:r w:rsidRPr="00F356ED">
        <w:rPr>
          <w:b/>
          <w:bCs/>
          <w:noProof/>
          <w:color w:val="000000"/>
          <w:sz w:val="19"/>
          <w:szCs w:val="19"/>
        </w:rPr>
        <w:drawing>
          <wp:anchor distT="0" distB="0" distL="114300" distR="114300" simplePos="0" relativeHeight="251659264" behindDoc="1" locked="0" layoutInCell="1" allowOverlap="1" wp14:anchorId="49177032" wp14:editId="2338083B">
            <wp:simplePos x="0" y="0"/>
            <wp:positionH relativeFrom="column">
              <wp:posOffset>1668780</wp:posOffset>
            </wp:positionH>
            <wp:positionV relativeFrom="paragraph">
              <wp:posOffset>253365</wp:posOffset>
            </wp:positionV>
            <wp:extent cx="2606040" cy="964279"/>
            <wp:effectExtent l="0" t="0" r="3810" b="7620"/>
            <wp:wrapTight wrapText="bothSides">
              <wp:wrapPolygon edited="0">
                <wp:start x="0" y="0"/>
                <wp:lineTo x="0" y="21344"/>
                <wp:lineTo x="21474" y="21344"/>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2606040" cy="964279"/>
                    </a:xfrm>
                    <a:prstGeom prst="rect">
                      <a:avLst/>
                    </a:prstGeom>
                  </pic:spPr>
                </pic:pic>
              </a:graphicData>
            </a:graphic>
            <wp14:sizeRelH relativeFrom="page">
              <wp14:pctWidth>0</wp14:pctWidth>
            </wp14:sizeRelH>
            <wp14:sizeRelV relativeFrom="page">
              <wp14:pctHeight>0</wp14:pctHeight>
            </wp14:sizeRelV>
          </wp:anchor>
        </w:drawing>
      </w:r>
      <w:r w:rsidRPr="00F356ED">
        <w:rPr>
          <w:rFonts w:eastAsia="Calibri"/>
        </w:rPr>
        <w:t xml:space="preserve">The College has received recognition from the following regarding its status as a leader in student achievement. </w:t>
      </w:r>
    </w:p>
    <w:p w:rsidR="003C1210" w:rsidRDefault="003C1210" w:rsidP="003C1210">
      <w:pPr>
        <w:spacing w:after="160" w:line="259" w:lineRule="auto"/>
        <w:jc w:val="center"/>
        <w:rPr>
          <w:color w:val="000000"/>
        </w:rPr>
      </w:pPr>
    </w:p>
    <w:p w:rsidR="003C1210" w:rsidRDefault="003C1210" w:rsidP="003C1210">
      <w:pPr>
        <w:spacing w:after="160" w:line="259" w:lineRule="auto"/>
        <w:rPr>
          <w:color w:val="000000"/>
        </w:rPr>
      </w:pPr>
    </w:p>
    <w:p w:rsidR="003C1210" w:rsidRDefault="003C1210" w:rsidP="003C1210">
      <w:pPr>
        <w:spacing w:after="160" w:line="259" w:lineRule="auto"/>
        <w:rPr>
          <w:color w:val="000000"/>
        </w:rPr>
      </w:pPr>
    </w:p>
    <w:p w:rsidR="003C1210" w:rsidRDefault="003C1210" w:rsidP="003C1210">
      <w:pPr>
        <w:ind w:firstLine="720"/>
        <w:rPr>
          <w:rFonts w:eastAsia="Calibri"/>
        </w:rPr>
      </w:pPr>
      <w:r w:rsidRPr="008F2CDB">
        <w:rPr>
          <w:color w:val="000000"/>
        </w:rPr>
        <w:t xml:space="preserve">Sauk Valley Community College </w:t>
      </w:r>
      <w:proofErr w:type="gramStart"/>
      <w:r w:rsidRPr="008F2CDB">
        <w:rPr>
          <w:color w:val="000000"/>
        </w:rPr>
        <w:t>has been selected</w:t>
      </w:r>
      <w:proofErr w:type="gramEnd"/>
      <w:r w:rsidRPr="008F2CDB">
        <w:rPr>
          <w:color w:val="000000"/>
        </w:rPr>
        <w:t xml:space="preserve"> as one of only 150 nationally to be eligible for the fifth biennial $1 million </w:t>
      </w:r>
      <w:r w:rsidRPr="008F2CDB">
        <w:rPr>
          <w:rStyle w:val="il"/>
          <w:color w:val="000000"/>
        </w:rPr>
        <w:t>Aspen</w:t>
      </w:r>
      <w:r w:rsidRPr="008F2CDB">
        <w:rPr>
          <w:color w:val="000000"/>
        </w:rPr>
        <w:t> Prize for Community College Excellence, the nation’s signature recognition of high achievement and performance in America’s community colleges.</w:t>
      </w:r>
    </w:p>
    <w:p w:rsidR="003C1210" w:rsidRPr="00DE4DE1" w:rsidRDefault="003C1210" w:rsidP="003C1210">
      <w:pPr>
        <w:ind w:firstLine="720"/>
        <w:rPr>
          <w:rFonts w:eastAsia="Calibri"/>
        </w:rPr>
      </w:pPr>
      <w:r w:rsidRPr="008F2CDB">
        <w:rPr>
          <w:color w:val="000000"/>
        </w:rPr>
        <w:t>The </w:t>
      </w:r>
      <w:r w:rsidRPr="008F2CDB">
        <w:rPr>
          <w:rStyle w:val="il"/>
          <w:color w:val="000000"/>
        </w:rPr>
        <w:t>Aspen</w:t>
      </w:r>
      <w:r w:rsidRPr="008F2CDB">
        <w:rPr>
          <w:color w:val="000000"/>
        </w:rPr>
        <w:t xml:space="preserve"> Prize, awarded every two years, has brought a new level of public attention to community colleges, defined comprehensive measures of excellence in outcomes for community college students (see below), and uncovered and disseminated practices that help exceptional colleges ensure great outcomes for their students. </w:t>
      </w:r>
    </w:p>
    <w:p w:rsidR="003C1210" w:rsidRPr="008F2CDB" w:rsidRDefault="003C1210" w:rsidP="003C1210">
      <w:pPr>
        <w:shd w:val="clear" w:color="auto" w:fill="FFFFFF"/>
        <w:rPr>
          <w:rFonts w:ascii="Arial" w:hAnsi="Arial" w:cs="Arial"/>
          <w:color w:val="000000"/>
          <w:sz w:val="22"/>
          <w:szCs w:val="22"/>
        </w:rPr>
      </w:pPr>
    </w:p>
    <w:tbl>
      <w:tblPr>
        <w:tblW w:w="9900" w:type="dxa"/>
        <w:tblCellMar>
          <w:left w:w="86" w:type="dxa"/>
          <w:right w:w="86" w:type="dxa"/>
        </w:tblCellMar>
        <w:tblLook w:val="04A0" w:firstRow="1" w:lastRow="0" w:firstColumn="1" w:lastColumn="0" w:noHBand="0" w:noVBand="1"/>
      </w:tblPr>
      <w:tblGrid>
        <w:gridCol w:w="1440"/>
        <w:gridCol w:w="1260"/>
        <w:gridCol w:w="1440"/>
        <w:gridCol w:w="1440"/>
        <w:gridCol w:w="1710"/>
        <w:gridCol w:w="1260"/>
        <w:gridCol w:w="1350"/>
      </w:tblGrid>
      <w:tr w:rsidR="003C1210" w:rsidRPr="008F2CDB" w:rsidTr="009A42FD">
        <w:trPr>
          <w:trHeight w:val="288"/>
        </w:trPr>
        <w:tc>
          <w:tcPr>
            <w:tcW w:w="1440" w:type="dxa"/>
            <w:tcBorders>
              <w:top w:val="nil"/>
              <w:left w:val="nil"/>
              <w:bottom w:val="nil"/>
              <w:right w:val="nil"/>
            </w:tcBorders>
            <w:shd w:val="clear" w:color="000000" w:fill="F2F2F2"/>
            <w:noWrap/>
            <w:vAlign w:val="bottom"/>
            <w:hideMark/>
          </w:tcPr>
          <w:p w:rsidR="003C1210" w:rsidRPr="008F2CDB" w:rsidRDefault="003C1210" w:rsidP="009A42FD">
            <w:pPr>
              <w:rPr>
                <w:color w:val="000000"/>
                <w:sz w:val="22"/>
                <w:szCs w:val="22"/>
              </w:rPr>
            </w:pPr>
            <w:r w:rsidRPr="008F2CDB">
              <w:rPr>
                <w:color w:val="000000"/>
                <w:sz w:val="22"/>
                <w:szCs w:val="22"/>
              </w:rPr>
              <w:t> </w:t>
            </w:r>
          </w:p>
        </w:tc>
        <w:tc>
          <w:tcPr>
            <w:tcW w:w="8460" w:type="dxa"/>
            <w:gridSpan w:val="6"/>
            <w:tcBorders>
              <w:top w:val="nil"/>
              <w:left w:val="nil"/>
              <w:bottom w:val="nil"/>
              <w:right w:val="nil"/>
            </w:tcBorders>
            <w:shd w:val="clear" w:color="000000" w:fill="F2F2F2"/>
            <w:noWrap/>
            <w:vAlign w:val="bottom"/>
            <w:hideMark/>
          </w:tcPr>
          <w:p w:rsidR="003C1210" w:rsidRPr="008F2CDB" w:rsidRDefault="003C1210" w:rsidP="009A42FD">
            <w:pPr>
              <w:jc w:val="center"/>
              <w:rPr>
                <w:b/>
                <w:bCs/>
                <w:color w:val="000000"/>
                <w:sz w:val="22"/>
                <w:szCs w:val="22"/>
              </w:rPr>
            </w:pPr>
            <w:r w:rsidRPr="008F2CDB">
              <w:rPr>
                <w:b/>
                <w:bCs/>
                <w:color w:val="000000"/>
                <w:sz w:val="22"/>
                <w:szCs w:val="22"/>
              </w:rPr>
              <w:t>Community College Averages</w:t>
            </w:r>
          </w:p>
        </w:tc>
      </w:tr>
      <w:tr w:rsidR="003C1210" w:rsidRPr="008F2CDB" w:rsidTr="009A42FD">
        <w:trPr>
          <w:trHeight w:val="288"/>
        </w:trPr>
        <w:tc>
          <w:tcPr>
            <w:tcW w:w="1440" w:type="dxa"/>
            <w:tcBorders>
              <w:top w:val="nil"/>
              <w:left w:val="nil"/>
              <w:bottom w:val="nil"/>
              <w:right w:val="nil"/>
            </w:tcBorders>
            <w:shd w:val="clear" w:color="000000" w:fill="F2F2F2"/>
            <w:noWrap/>
            <w:vAlign w:val="bottom"/>
            <w:hideMark/>
          </w:tcPr>
          <w:p w:rsidR="003C1210" w:rsidRPr="008F2CDB" w:rsidRDefault="003C1210" w:rsidP="009A42FD">
            <w:pPr>
              <w:rPr>
                <w:color w:val="000000"/>
                <w:sz w:val="22"/>
                <w:szCs w:val="22"/>
              </w:rPr>
            </w:pPr>
            <w:r w:rsidRPr="008F2CDB">
              <w:rPr>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3C1210" w:rsidRPr="008F2CDB" w:rsidRDefault="003C1210" w:rsidP="009A42FD">
            <w:pPr>
              <w:jc w:val="center"/>
              <w:rPr>
                <w:color w:val="000000"/>
                <w:sz w:val="22"/>
                <w:szCs w:val="22"/>
              </w:rPr>
            </w:pPr>
            <w:r w:rsidRPr="008F2CDB">
              <w:rPr>
                <w:color w:val="000000"/>
                <w:sz w:val="22"/>
                <w:szCs w:val="22"/>
              </w:rPr>
              <w:t>52.7</w:t>
            </w:r>
          </w:p>
        </w:tc>
        <w:tc>
          <w:tcPr>
            <w:tcW w:w="1440" w:type="dxa"/>
            <w:tcBorders>
              <w:top w:val="single" w:sz="4" w:space="0" w:color="auto"/>
              <w:left w:val="nil"/>
              <w:bottom w:val="single" w:sz="4" w:space="0" w:color="auto"/>
              <w:right w:val="single" w:sz="4" w:space="0" w:color="auto"/>
            </w:tcBorders>
            <w:shd w:val="clear" w:color="000000" w:fill="FFE699"/>
            <w:noWrap/>
            <w:vAlign w:val="center"/>
            <w:hideMark/>
          </w:tcPr>
          <w:p w:rsidR="003C1210" w:rsidRPr="008F2CDB" w:rsidRDefault="003C1210" w:rsidP="009A42FD">
            <w:pPr>
              <w:jc w:val="center"/>
              <w:rPr>
                <w:color w:val="000000"/>
                <w:sz w:val="22"/>
                <w:szCs w:val="22"/>
              </w:rPr>
            </w:pPr>
            <w:r w:rsidRPr="008F2CDB">
              <w:rPr>
                <w:color w:val="000000"/>
                <w:sz w:val="22"/>
                <w:szCs w:val="22"/>
              </w:rPr>
              <w:t>39.6</w:t>
            </w:r>
          </w:p>
        </w:tc>
        <w:tc>
          <w:tcPr>
            <w:tcW w:w="1440" w:type="dxa"/>
            <w:tcBorders>
              <w:top w:val="single" w:sz="4" w:space="0" w:color="auto"/>
              <w:left w:val="nil"/>
              <w:bottom w:val="single" w:sz="4" w:space="0" w:color="auto"/>
              <w:right w:val="single" w:sz="4" w:space="0" w:color="auto"/>
            </w:tcBorders>
            <w:shd w:val="clear" w:color="000000" w:fill="FFE699"/>
            <w:noWrap/>
            <w:vAlign w:val="center"/>
            <w:hideMark/>
          </w:tcPr>
          <w:p w:rsidR="003C1210" w:rsidRPr="008F2CDB" w:rsidRDefault="003C1210" w:rsidP="009A42FD">
            <w:pPr>
              <w:jc w:val="center"/>
              <w:rPr>
                <w:color w:val="000000"/>
                <w:sz w:val="22"/>
                <w:szCs w:val="22"/>
              </w:rPr>
            </w:pPr>
            <w:r w:rsidRPr="008F2CDB">
              <w:rPr>
                <w:color w:val="000000"/>
                <w:sz w:val="22"/>
                <w:szCs w:val="22"/>
              </w:rPr>
              <w:t>37.4</w:t>
            </w:r>
          </w:p>
        </w:tc>
        <w:tc>
          <w:tcPr>
            <w:tcW w:w="1710" w:type="dxa"/>
            <w:tcBorders>
              <w:top w:val="single" w:sz="4" w:space="0" w:color="auto"/>
              <w:left w:val="nil"/>
              <w:bottom w:val="single" w:sz="4" w:space="0" w:color="auto"/>
              <w:right w:val="single" w:sz="4" w:space="0" w:color="auto"/>
            </w:tcBorders>
            <w:shd w:val="clear" w:color="000000" w:fill="FFE699"/>
            <w:noWrap/>
            <w:vAlign w:val="center"/>
            <w:hideMark/>
          </w:tcPr>
          <w:p w:rsidR="003C1210" w:rsidRPr="008F2CDB" w:rsidRDefault="003C1210" w:rsidP="009A42FD">
            <w:pPr>
              <w:jc w:val="center"/>
              <w:rPr>
                <w:color w:val="000000"/>
                <w:sz w:val="22"/>
                <w:szCs w:val="22"/>
              </w:rPr>
            </w:pPr>
            <w:r w:rsidRPr="008F2CDB">
              <w:rPr>
                <w:color w:val="000000"/>
                <w:sz w:val="22"/>
                <w:szCs w:val="22"/>
              </w:rPr>
              <w:t>2.1</w:t>
            </w:r>
          </w:p>
        </w:tc>
        <w:tc>
          <w:tcPr>
            <w:tcW w:w="1260" w:type="dxa"/>
            <w:tcBorders>
              <w:top w:val="single" w:sz="4" w:space="0" w:color="auto"/>
              <w:left w:val="nil"/>
              <w:bottom w:val="single" w:sz="4" w:space="0" w:color="auto"/>
              <w:right w:val="single" w:sz="4" w:space="0" w:color="auto"/>
            </w:tcBorders>
            <w:shd w:val="clear" w:color="000000" w:fill="FFE699"/>
            <w:noWrap/>
            <w:vAlign w:val="center"/>
            <w:hideMark/>
          </w:tcPr>
          <w:p w:rsidR="003C1210" w:rsidRPr="008F2CDB" w:rsidRDefault="003C1210" w:rsidP="009A42FD">
            <w:pPr>
              <w:jc w:val="center"/>
              <w:rPr>
                <w:color w:val="000000"/>
                <w:sz w:val="22"/>
                <w:szCs w:val="22"/>
              </w:rPr>
            </w:pPr>
            <w:r w:rsidRPr="008F2CDB">
              <w:rPr>
                <w:color w:val="000000"/>
                <w:sz w:val="22"/>
                <w:szCs w:val="22"/>
              </w:rPr>
              <w:t>34.5</w:t>
            </w:r>
          </w:p>
        </w:tc>
        <w:tc>
          <w:tcPr>
            <w:tcW w:w="1350" w:type="dxa"/>
            <w:tcBorders>
              <w:top w:val="single" w:sz="4" w:space="0" w:color="auto"/>
              <w:left w:val="nil"/>
              <w:bottom w:val="single" w:sz="4" w:space="0" w:color="auto"/>
              <w:right w:val="single" w:sz="4" w:space="0" w:color="auto"/>
            </w:tcBorders>
            <w:shd w:val="clear" w:color="000000" w:fill="FFE699"/>
            <w:noWrap/>
            <w:vAlign w:val="center"/>
            <w:hideMark/>
          </w:tcPr>
          <w:p w:rsidR="003C1210" w:rsidRPr="008F2CDB" w:rsidRDefault="003C1210" w:rsidP="009A42FD">
            <w:pPr>
              <w:jc w:val="center"/>
              <w:rPr>
                <w:color w:val="000000"/>
                <w:sz w:val="22"/>
                <w:szCs w:val="22"/>
              </w:rPr>
            </w:pPr>
            <w:r w:rsidRPr="008F2CDB">
              <w:rPr>
                <w:color w:val="000000"/>
                <w:sz w:val="22"/>
                <w:szCs w:val="22"/>
              </w:rPr>
              <w:t>22.7</w:t>
            </w:r>
          </w:p>
        </w:tc>
      </w:tr>
      <w:tr w:rsidR="003C1210" w:rsidRPr="008F2CDB" w:rsidTr="009A42FD">
        <w:trPr>
          <w:trHeight w:val="288"/>
        </w:trPr>
        <w:tc>
          <w:tcPr>
            <w:tcW w:w="14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C1210" w:rsidRPr="008F2CDB" w:rsidRDefault="003C1210" w:rsidP="009A42FD">
            <w:pPr>
              <w:jc w:val="center"/>
              <w:rPr>
                <w:b/>
                <w:bCs/>
                <w:color w:val="000000"/>
                <w:sz w:val="22"/>
                <w:szCs w:val="22"/>
              </w:rPr>
            </w:pPr>
            <w:r w:rsidRPr="008F2CDB">
              <w:rPr>
                <w:b/>
                <w:bCs/>
                <w:color w:val="000000"/>
                <w:sz w:val="22"/>
                <w:szCs w:val="22"/>
              </w:rPr>
              <w:t>Institution Name</w:t>
            </w:r>
          </w:p>
        </w:tc>
        <w:tc>
          <w:tcPr>
            <w:tcW w:w="846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3C1210" w:rsidRPr="008F2CDB" w:rsidRDefault="003C1210" w:rsidP="009A42FD">
            <w:pPr>
              <w:jc w:val="center"/>
              <w:rPr>
                <w:b/>
                <w:bCs/>
                <w:color w:val="000000"/>
                <w:sz w:val="22"/>
                <w:szCs w:val="22"/>
              </w:rPr>
            </w:pPr>
            <w:r w:rsidRPr="008F2CDB">
              <w:rPr>
                <w:b/>
                <w:bCs/>
                <w:color w:val="000000"/>
                <w:sz w:val="22"/>
                <w:szCs w:val="22"/>
              </w:rPr>
              <w:t>Institutional Values</w:t>
            </w:r>
          </w:p>
        </w:tc>
      </w:tr>
      <w:tr w:rsidR="003C1210" w:rsidRPr="008F2CDB" w:rsidTr="009A42FD">
        <w:trPr>
          <w:trHeight w:val="576"/>
        </w:trPr>
        <w:tc>
          <w:tcPr>
            <w:tcW w:w="1440" w:type="dxa"/>
            <w:vMerge/>
            <w:tcBorders>
              <w:top w:val="single" w:sz="4" w:space="0" w:color="auto"/>
              <w:left w:val="single" w:sz="4" w:space="0" w:color="auto"/>
              <w:bottom w:val="single" w:sz="4" w:space="0" w:color="000000"/>
              <w:right w:val="single" w:sz="4" w:space="0" w:color="auto"/>
            </w:tcBorders>
            <w:vAlign w:val="center"/>
            <w:hideMark/>
          </w:tcPr>
          <w:p w:rsidR="003C1210" w:rsidRPr="008F2CDB" w:rsidRDefault="003C1210" w:rsidP="009A42FD">
            <w:pPr>
              <w:rPr>
                <w:b/>
                <w:bCs/>
                <w:color w:val="000000"/>
                <w:sz w:val="22"/>
                <w:szCs w:val="22"/>
              </w:rPr>
            </w:pPr>
          </w:p>
        </w:tc>
        <w:tc>
          <w:tcPr>
            <w:tcW w:w="4140" w:type="dxa"/>
            <w:gridSpan w:val="3"/>
            <w:tcBorders>
              <w:top w:val="single" w:sz="4" w:space="0" w:color="auto"/>
              <w:left w:val="nil"/>
              <w:bottom w:val="single" w:sz="4" w:space="0" w:color="auto"/>
              <w:right w:val="single" w:sz="4" w:space="0" w:color="000000"/>
            </w:tcBorders>
            <w:shd w:val="clear" w:color="000000" w:fill="F8CBAD"/>
            <w:noWrap/>
            <w:vAlign w:val="center"/>
            <w:hideMark/>
          </w:tcPr>
          <w:p w:rsidR="003C1210" w:rsidRPr="008F2CDB" w:rsidRDefault="003C1210" w:rsidP="009A42FD">
            <w:pPr>
              <w:jc w:val="center"/>
              <w:rPr>
                <w:b/>
                <w:bCs/>
                <w:color w:val="000000"/>
                <w:sz w:val="22"/>
                <w:szCs w:val="22"/>
              </w:rPr>
            </w:pPr>
            <w:r w:rsidRPr="008F2CDB">
              <w:rPr>
                <w:b/>
                <w:bCs/>
                <w:color w:val="000000"/>
                <w:sz w:val="22"/>
                <w:szCs w:val="22"/>
              </w:rPr>
              <w:t>Performance</w:t>
            </w:r>
          </w:p>
        </w:tc>
        <w:tc>
          <w:tcPr>
            <w:tcW w:w="1710" w:type="dxa"/>
            <w:tcBorders>
              <w:top w:val="nil"/>
              <w:left w:val="nil"/>
              <w:bottom w:val="single" w:sz="4" w:space="0" w:color="auto"/>
              <w:right w:val="nil"/>
            </w:tcBorders>
            <w:shd w:val="clear" w:color="000000" w:fill="C6E0B4"/>
            <w:vAlign w:val="center"/>
            <w:hideMark/>
          </w:tcPr>
          <w:p w:rsidR="003C1210" w:rsidRPr="008F2CDB" w:rsidRDefault="003C1210" w:rsidP="009A42FD">
            <w:pPr>
              <w:jc w:val="center"/>
              <w:rPr>
                <w:b/>
                <w:bCs/>
                <w:color w:val="000000"/>
                <w:sz w:val="22"/>
                <w:szCs w:val="22"/>
              </w:rPr>
            </w:pPr>
            <w:r w:rsidRPr="008F2CDB">
              <w:rPr>
                <w:b/>
                <w:bCs/>
                <w:color w:val="000000"/>
                <w:sz w:val="22"/>
                <w:szCs w:val="22"/>
              </w:rPr>
              <w:t>Change Over Time</w:t>
            </w:r>
          </w:p>
        </w:tc>
        <w:tc>
          <w:tcPr>
            <w:tcW w:w="261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rsidR="003C1210" w:rsidRPr="008F2CDB" w:rsidRDefault="003C1210" w:rsidP="009A42FD">
            <w:pPr>
              <w:jc w:val="center"/>
              <w:rPr>
                <w:b/>
                <w:bCs/>
                <w:color w:val="000000"/>
                <w:sz w:val="22"/>
                <w:szCs w:val="22"/>
              </w:rPr>
            </w:pPr>
            <w:r w:rsidRPr="008F2CDB">
              <w:rPr>
                <w:b/>
                <w:bCs/>
                <w:color w:val="000000"/>
                <w:sz w:val="22"/>
                <w:szCs w:val="22"/>
              </w:rPr>
              <w:t>Equity: Minority Rates</w:t>
            </w:r>
          </w:p>
        </w:tc>
      </w:tr>
      <w:tr w:rsidR="003C1210" w:rsidRPr="008F2CDB" w:rsidTr="009A42FD">
        <w:trPr>
          <w:trHeight w:val="1728"/>
        </w:trPr>
        <w:tc>
          <w:tcPr>
            <w:tcW w:w="1440" w:type="dxa"/>
            <w:vMerge/>
            <w:tcBorders>
              <w:top w:val="single" w:sz="4" w:space="0" w:color="auto"/>
              <w:left w:val="single" w:sz="4" w:space="0" w:color="auto"/>
              <w:bottom w:val="single" w:sz="4" w:space="0" w:color="000000"/>
              <w:right w:val="single" w:sz="4" w:space="0" w:color="auto"/>
            </w:tcBorders>
            <w:vAlign w:val="center"/>
            <w:hideMark/>
          </w:tcPr>
          <w:p w:rsidR="003C1210" w:rsidRPr="008F2CDB" w:rsidRDefault="003C1210" w:rsidP="009A42FD">
            <w:pPr>
              <w:rPr>
                <w:b/>
                <w:bCs/>
                <w:color w:val="000000"/>
                <w:sz w:val="22"/>
                <w:szCs w:val="22"/>
              </w:rPr>
            </w:pPr>
          </w:p>
        </w:tc>
        <w:tc>
          <w:tcPr>
            <w:tcW w:w="1260" w:type="dxa"/>
            <w:tcBorders>
              <w:top w:val="nil"/>
              <w:left w:val="nil"/>
              <w:bottom w:val="single" w:sz="4" w:space="0" w:color="auto"/>
              <w:right w:val="single" w:sz="4" w:space="0" w:color="auto"/>
            </w:tcBorders>
            <w:shd w:val="clear" w:color="auto" w:fill="auto"/>
            <w:vAlign w:val="center"/>
            <w:hideMark/>
          </w:tcPr>
          <w:p w:rsidR="003C1210" w:rsidRPr="008F2CDB" w:rsidRDefault="003C1210" w:rsidP="009A42FD">
            <w:pPr>
              <w:jc w:val="center"/>
              <w:rPr>
                <w:color w:val="000000"/>
                <w:sz w:val="22"/>
                <w:szCs w:val="22"/>
              </w:rPr>
            </w:pPr>
            <w:r w:rsidRPr="008F2CDB">
              <w:rPr>
                <w:color w:val="000000"/>
                <w:sz w:val="22"/>
                <w:szCs w:val="22"/>
              </w:rPr>
              <w:t>First-Year Retention Rate</w:t>
            </w:r>
          </w:p>
        </w:tc>
        <w:tc>
          <w:tcPr>
            <w:tcW w:w="1440" w:type="dxa"/>
            <w:tcBorders>
              <w:top w:val="nil"/>
              <w:left w:val="nil"/>
              <w:bottom w:val="single" w:sz="4" w:space="0" w:color="auto"/>
              <w:right w:val="single" w:sz="4" w:space="0" w:color="auto"/>
            </w:tcBorders>
            <w:shd w:val="clear" w:color="auto" w:fill="auto"/>
            <w:vAlign w:val="center"/>
            <w:hideMark/>
          </w:tcPr>
          <w:p w:rsidR="003C1210" w:rsidRPr="008F2CDB" w:rsidRDefault="003C1210" w:rsidP="009A42FD">
            <w:pPr>
              <w:jc w:val="center"/>
              <w:rPr>
                <w:color w:val="000000"/>
                <w:sz w:val="22"/>
                <w:szCs w:val="22"/>
              </w:rPr>
            </w:pPr>
            <w:r w:rsidRPr="008F2CDB">
              <w:rPr>
                <w:color w:val="000000"/>
                <w:sz w:val="22"/>
                <w:szCs w:val="22"/>
              </w:rPr>
              <w:t>Three-Year Graduation Rate</w:t>
            </w:r>
          </w:p>
        </w:tc>
        <w:tc>
          <w:tcPr>
            <w:tcW w:w="1440" w:type="dxa"/>
            <w:tcBorders>
              <w:top w:val="nil"/>
              <w:left w:val="nil"/>
              <w:bottom w:val="single" w:sz="4" w:space="0" w:color="auto"/>
              <w:right w:val="single" w:sz="4" w:space="0" w:color="auto"/>
            </w:tcBorders>
            <w:shd w:val="clear" w:color="auto" w:fill="auto"/>
            <w:vAlign w:val="center"/>
            <w:hideMark/>
          </w:tcPr>
          <w:p w:rsidR="003C1210" w:rsidRPr="008F2CDB" w:rsidRDefault="003C1210" w:rsidP="009A42FD">
            <w:pPr>
              <w:jc w:val="center"/>
              <w:rPr>
                <w:color w:val="000000"/>
                <w:sz w:val="22"/>
                <w:szCs w:val="22"/>
              </w:rPr>
            </w:pPr>
            <w:r w:rsidRPr="008F2CDB">
              <w:rPr>
                <w:color w:val="000000"/>
                <w:sz w:val="22"/>
                <w:szCs w:val="22"/>
              </w:rPr>
              <w:t>Credentials Awarded per 100 FTE Students</w:t>
            </w:r>
          </w:p>
        </w:tc>
        <w:tc>
          <w:tcPr>
            <w:tcW w:w="1710" w:type="dxa"/>
            <w:tcBorders>
              <w:top w:val="nil"/>
              <w:left w:val="nil"/>
              <w:bottom w:val="single" w:sz="4" w:space="0" w:color="auto"/>
              <w:right w:val="single" w:sz="4" w:space="0" w:color="auto"/>
            </w:tcBorders>
            <w:shd w:val="clear" w:color="000000" w:fill="C6E0B4"/>
            <w:vAlign w:val="center"/>
            <w:hideMark/>
          </w:tcPr>
          <w:p w:rsidR="003C1210" w:rsidRPr="008F2CDB" w:rsidRDefault="003C1210" w:rsidP="009A42FD">
            <w:pPr>
              <w:jc w:val="center"/>
              <w:rPr>
                <w:color w:val="000000"/>
                <w:sz w:val="22"/>
                <w:szCs w:val="22"/>
              </w:rPr>
            </w:pPr>
            <w:r w:rsidRPr="008F2CDB">
              <w:rPr>
                <w:color w:val="000000"/>
                <w:sz w:val="22"/>
                <w:szCs w:val="22"/>
              </w:rPr>
              <w:t>Performance variables - year-to-year increase or decline over 5 years</w:t>
            </w:r>
          </w:p>
        </w:tc>
        <w:tc>
          <w:tcPr>
            <w:tcW w:w="1260" w:type="dxa"/>
            <w:tcBorders>
              <w:top w:val="nil"/>
              <w:left w:val="nil"/>
              <w:bottom w:val="single" w:sz="4" w:space="0" w:color="auto"/>
              <w:right w:val="single" w:sz="4" w:space="0" w:color="auto"/>
            </w:tcBorders>
            <w:shd w:val="clear" w:color="auto" w:fill="auto"/>
            <w:vAlign w:val="center"/>
            <w:hideMark/>
          </w:tcPr>
          <w:p w:rsidR="003C1210" w:rsidRPr="008F2CDB" w:rsidRDefault="003C1210" w:rsidP="009A42FD">
            <w:pPr>
              <w:jc w:val="center"/>
              <w:rPr>
                <w:color w:val="000000"/>
                <w:sz w:val="22"/>
                <w:szCs w:val="22"/>
              </w:rPr>
            </w:pPr>
            <w:r w:rsidRPr="008F2CDB">
              <w:rPr>
                <w:color w:val="000000"/>
                <w:sz w:val="22"/>
                <w:szCs w:val="22"/>
              </w:rPr>
              <w:t>Three-Year Graduation Rate</w:t>
            </w:r>
          </w:p>
        </w:tc>
        <w:tc>
          <w:tcPr>
            <w:tcW w:w="1350" w:type="dxa"/>
            <w:tcBorders>
              <w:top w:val="nil"/>
              <w:left w:val="nil"/>
              <w:bottom w:val="single" w:sz="4" w:space="0" w:color="auto"/>
              <w:right w:val="single" w:sz="4" w:space="0" w:color="auto"/>
            </w:tcBorders>
            <w:shd w:val="clear" w:color="auto" w:fill="auto"/>
            <w:vAlign w:val="center"/>
            <w:hideMark/>
          </w:tcPr>
          <w:p w:rsidR="003C1210" w:rsidRPr="008F2CDB" w:rsidRDefault="003C1210" w:rsidP="009A42FD">
            <w:pPr>
              <w:jc w:val="center"/>
              <w:rPr>
                <w:color w:val="000000"/>
                <w:sz w:val="22"/>
                <w:szCs w:val="22"/>
              </w:rPr>
            </w:pPr>
            <w:r w:rsidRPr="008F2CDB">
              <w:rPr>
                <w:color w:val="000000"/>
                <w:sz w:val="22"/>
                <w:szCs w:val="22"/>
              </w:rPr>
              <w:t>Credentials Awarded per 100 FTE Students</w:t>
            </w:r>
          </w:p>
        </w:tc>
      </w:tr>
      <w:tr w:rsidR="003C1210" w:rsidRPr="008F2CDB" w:rsidTr="009A42FD">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C1210" w:rsidRPr="008F2CDB" w:rsidRDefault="003C1210" w:rsidP="009A42FD">
            <w:pPr>
              <w:rPr>
                <w:b/>
                <w:i/>
                <w:sz w:val="22"/>
                <w:szCs w:val="22"/>
              </w:rPr>
            </w:pPr>
            <w:r w:rsidRPr="008F2CDB">
              <w:rPr>
                <w:b/>
                <w:i/>
                <w:sz w:val="22"/>
                <w:szCs w:val="22"/>
              </w:rPr>
              <w:t>Sauk Valley Community College</w:t>
            </w:r>
          </w:p>
        </w:tc>
        <w:tc>
          <w:tcPr>
            <w:tcW w:w="1260" w:type="dxa"/>
            <w:tcBorders>
              <w:top w:val="nil"/>
              <w:left w:val="nil"/>
              <w:bottom w:val="single" w:sz="4" w:space="0" w:color="auto"/>
              <w:right w:val="single" w:sz="4" w:space="0" w:color="auto"/>
            </w:tcBorders>
            <w:shd w:val="clear" w:color="auto" w:fill="auto"/>
            <w:noWrap/>
            <w:vAlign w:val="center"/>
            <w:hideMark/>
          </w:tcPr>
          <w:p w:rsidR="003C1210" w:rsidRPr="008F2CDB" w:rsidRDefault="003C1210" w:rsidP="009A42FD">
            <w:pPr>
              <w:jc w:val="center"/>
              <w:rPr>
                <w:b/>
                <w:i/>
                <w:color w:val="000000"/>
                <w:sz w:val="22"/>
                <w:szCs w:val="22"/>
              </w:rPr>
            </w:pPr>
            <w:r w:rsidRPr="008F2CDB">
              <w:rPr>
                <w:b/>
                <w:i/>
                <w:color w:val="000000"/>
                <w:sz w:val="22"/>
                <w:szCs w:val="22"/>
              </w:rPr>
              <w:t>61.5</w:t>
            </w:r>
          </w:p>
        </w:tc>
        <w:tc>
          <w:tcPr>
            <w:tcW w:w="1440" w:type="dxa"/>
            <w:tcBorders>
              <w:top w:val="nil"/>
              <w:left w:val="nil"/>
              <w:bottom w:val="single" w:sz="4" w:space="0" w:color="auto"/>
              <w:right w:val="single" w:sz="4" w:space="0" w:color="auto"/>
            </w:tcBorders>
            <w:shd w:val="clear" w:color="auto" w:fill="auto"/>
            <w:noWrap/>
            <w:vAlign w:val="center"/>
            <w:hideMark/>
          </w:tcPr>
          <w:p w:rsidR="003C1210" w:rsidRPr="008F2CDB" w:rsidRDefault="003C1210" w:rsidP="009A42FD">
            <w:pPr>
              <w:jc w:val="center"/>
              <w:rPr>
                <w:b/>
                <w:i/>
                <w:color w:val="000000"/>
                <w:sz w:val="22"/>
                <w:szCs w:val="22"/>
              </w:rPr>
            </w:pPr>
            <w:r w:rsidRPr="008F2CDB">
              <w:rPr>
                <w:b/>
                <w:i/>
                <w:color w:val="000000"/>
                <w:sz w:val="22"/>
                <w:szCs w:val="22"/>
              </w:rPr>
              <w:t>57.5</w:t>
            </w:r>
          </w:p>
        </w:tc>
        <w:tc>
          <w:tcPr>
            <w:tcW w:w="1440" w:type="dxa"/>
            <w:tcBorders>
              <w:top w:val="nil"/>
              <w:left w:val="nil"/>
              <w:bottom w:val="single" w:sz="4" w:space="0" w:color="auto"/>
              <w:right w:val="single" w:sz="4" w:space="0" w:color="auto"/>
            </w:tcBorders>
            <w:shd w:val="clear" w:color="auto" w:fill="auto"/>
            <w:noWrap/>
            <w:vAlign w:val="center"/>
            <w:hideMark/>
          </w:tcPr>
          <w:p w:rsidR="003C1210" w:rsidRPr="008F2CDB" w:rsidRDefault="003C1210" w:rsidP="009A42FD">
            <w:pPr>
              <w:jc w:val="center"/>
              <w:rPr>
                <w:b/>
                <w:i/>
                <w:color w:val="000000"/>
                <w:sz w:val="22"/>
                <w:szCs w:val="22"/>
              </w:rPr>
            </w:pPr>
            <w:r w:rsidRPr="008F2CDB">
              <w:rPr>
                <w:b/>
                <w:i/>
                <w:color w:val="000000"/>
                <w:sz w:val="22"/>
                <w:szCs w:val="22"/>
              </w:rPr>
              <w:t>37.3</w:t>
            </w:r>
          </w:p>
        </w:tc>
        <w:tc>
          <w:tcPr>
            <w:tcW w:w="1710" w:type="dxa"/>
            <w:tcBorders>
              <w:top w:val="nil"/>
              <w:left w:val="nil"/>
              <w:bottom w:val="single" w:sz="4" w:space="0" w:color="auto"/>
              <w:right w:val="single" w:sz="4" w:space="0" w:color="auto"/>
            </w:tcBorders>
            <w:shd w:val="clear" w:color="auto" w:fill="auto"/>
            <w:noWrap/>
            <w:vAlign w:val="center"/>
            <w:hideMark/>
          </w:tcPr>
          <w:p w:rsidR="003C1210" w:rsidRPr="008F2CDB" w:rsidRDefault="003C1210" w:rsidP="009A42FD">
            <w:pPr>
              <w:jc w:val="center"/>
              <w:rPr>
                <w:b/>
                <w:i/>
                <w:color w:val="000000"/>
                <w:sz w:val="22"/>
                <w:szCs w:val="22"/>
              </w:rPr>
            </w:pPr>
            <w:r w:rsidRPr="008F2CDB">
              <w:rPr>
                <w:b/>
                <w:i/>
                <w:color w:val="000000"/>
                <w:sz w:val="22"/>
                <w:szCs w:val="22"/>
              </w:rPr>
              <w:t>7.0</w:t>
            </w:r>
          </w:p>
        </w:tc>
        <w:tc>
          <w:tcPr>
            <w:tcW w:w="1260" w:type="dxa"/>
            <w:tcBorders>
              <w:top w:val="nil"/>
              <w:left w:val="nil"/>
              <w:bottom w:val="single" w:sz="4" w:space="0" w:color="auto"/>
              <w:right w:val="single" w:sz="4" w:space="0" w:color="auto"/>
            </w:tcBorders>
            <w:shd w:val="clear" w:color="auto" w:fill="auto"/>
            <w:noWrap/>
            <w:vAlign w:val="center"/>
            <w:hideMark/>
          </w:tcPr>
          <w:p w:rsidR="003C1210" w:rsidRPr="008F2CDB" w:rsidRDefault="003C1210" w:rsidP="009A42FD">
            <w:pPr>
              <w:jc w:val="center"/>
              <w:rPr>
                <w:b/>
                <w:i/>
                <w:color w:val="000000"/>
                <w:sz w:val="22"/>
                <w:szCs w:val="22"/>
              </w:rPr>
            </w:pPr>
            <w:r w:rsidRPr="008F2CDB">
              <w:rPr>
                <w:b/>
                <w:i/>
                <w:color w:val="000000"/>
                <w:sz w:val="22"/>
                <w:szCs w:val="22"/>
              </w:rPr>
              <w:t>49.2</w:t>
            </w:r>
          </w:p>
        </w:tc>
        <w:tc>
          <w:tcPr>
            <w:tcW w:w="1350" w:type="dxa"/>
            <w:tcBorders>
              <w:top w:val="nil"/>
              <w:left w:val="nil"/>
              <w:bottom w:val="single" w:sz="4" w:space="0" w:color="auto"/>
              <w:right w:val="single" w:sz="4" w:space="0" w:color="auto"/>
            </w:tcBorders>
            <w:shd w:val="clear" w:color="auto" w:fill="auto"/>
            <w:noWrap/>
            <w:vAlign w:val="center"/>
            <w:hideMark/>
          </w:tcPr>
          <w:p w:rsidR="003C1210" w:rsidRPr="008F2CDB" w:rsidRDefault="003C1210" w:rsidP="009A42FD">
            <w:pPr>
              <w:jc w:val="center"/>
              <w:rPr>
                <w:b/>
                <w:i/>
                <w:color w:val="000000"/>
                <w:sz w:val="22"/>
                <w:szCs w:val="22"/>
              </w:rPr>
            </w:pPr>
            <w:r w:rsidRPr="008F2CDB">
              <w:rPr>
                <w:b/>
                <w:i/>
                <w:color w:val="000000"/>
                <w:sz w:val="22"/>
                <w:szCs w:val="22"/>
              </w:rPr>
              <w:t>20.1</w:t>
            </w:r>
          </w:p>
        </w:tc>
      </w:tr>
    </w:tbl>
    <w:p w:rsidR="003C1210" w:rsidRDefault="003C1210" w:rsidP="003C1210">
      <w:pPr>
        <w:spacing w:after="160" w:line="259" w:lineRule="auto"/>
        <w:rPr>
          <w:rFonts w:eastAsia="Calibri"/>
        </w:rPr>
      </w:pPr>
      <w:r>
        <w:rPr>
          <w:rFonts w:eastAsia="Calibri"/>
        </w:rPr>
        <w:br w:type="page"/>
      </w:r>
    </w:p>
    <w:p w:rsidR="003C1210" w:rsidRDefault="003C1210" w:rsidP="003C1210">
      <w:pPr>
        <w:spacing w:after="160" w:line="259" w:lineRule="auto"/>
        <w:jc w:val="center"/>
        <w:rPr>
          <w:rFonts w:eastAsia="Calibri"/>
        </w:rPr>
      </w:pPr>
      <w:r>
        <w:rPr>
          <w:rFonts w:eastAsia="Calibri"/>
          <w:noProof/>
        </w:rPr>
        <w:lastRenderedPageBreak/>
        <w:drawing>
          <wp:inline distT="0" distB="0" distL="0" distR="0" wp14:anchorId="37A07FA6" wp14:editId="234DD055">
            <wp:extent cx="2933700" cy="8964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pg"/>
                    <pic:cNvPicPr/>
                  </pic:nvPicPr>
                  <pic:blipFill>
                    <a:blip r:embed="rId6">
                      <a:extLst>
                        <a:ext uri="{28A0092B-C50C-407E-A947-70E740481C1C}">
                          <a14:useLocalDpi xmlns:a14="http://schemas.microsoft.com/office/drawing/2010/main" val="0"/>
                        </a:ext>
                      </a:extLst>
                    </a:blip>
                    <a:stretch>
                      <a:fillRect/>
                    </a:stretch>
                  </pic:blipFill>
                  <pic:spPr>
                    <a:xfrm>
                      <a:off x="0" y="0"/>
                      <a:ext cx="2943064" cy="899269"/>
                    </a:xfrm>
                    <a:prstGeom prst="rect">
                      <a:avLst/>
                    </a:prstGeom>
                  </pic:spPr>
                </pic:pic>
              </a:graphicData>
            </a:graphic>
          </wp:inline>
        </w:drawing>
      </w:r>
    </w:p>
    <w:p w:rsidR="003C1210" w:rsidRDefault="003C1210" w:rsidP="003C1210">
      <w:pPr>
        <w:ind w:firstLine="720"/>
        <w:rPr>
          <w:rFonts w:eastAsia="Calibri"/>
        </w:rPr>
      </w:pPr>
      <w:r w:rsidRPr="007A6293">
        <w:rPr>
          <w:rFonts w:eastAsia="Calibri"/>
          <w:b/>
        </w:rPr>
        <w:t>P</w:t>
      </w:r>
      <w:r>
        <w:rPr>
          <w:rFonts w:eastAsia="Calibri"/>
          <w:b/>
        </w:rPr>
        <w:t>erformance-</w:t>
      </w:r>
      <w:r w:rsidRPr="007A6293">
        <w:rPr>
          <w:rFonts w:eastAsia="Calibri"/>
          <w:b/>
        </w:rPr>
        <w:t>based funding</w:t>
      </w:r>
      <w:r w:rsidRPr="00401A2A">
        <w:rPr>
          <w:rFonts w:eastAsia="Calibri"/>
        </w:rPr>
        <w:t xml:space="preserve"> was legislated by the Illinois General Assembly in </w:t>
      </w:r>
      <w:proofErr w:type="gramStart"/>
      <w:r w:rsidRPr="00401A2A">
        <w:rPr>
          <w:rFonts w:eastAsia="Calibri"/>
        </w:rPr>
        <w:t>June,</w:t>
      </w:r>
      <w:proofErr w:type="gramEnd"/>
      <w:r w:rsidRPr="00401A2A">
        <w:rPr>
          <w:rFonts w:eastAsia="Calibri"/>
        </w:rPr>
        <w:t xml:space="preserve"> 2012 with </w:t>
      </w:r>
      <w:hyperlink r:id="rId7" w:tgtFrame="_blank" w:history="1">
        <w:r w:rsidRPr="00401A2A">
          <w:rPr>
            <w:rStyle w:val="Hyperlink"/>
            <w:rFonts w:eastAsia="Calibri"/>
            <w:b/>
            <w:bCs/>
          </w:rPr>
          <w:t>Public Act 97-320</w:t>
        </w:r>
      </w:hyperlink>
      <w:r w:rsidRPr="00401A2A">
        <w:rPr>
          <w:rFonts w:eastAsia="Calibri"/>
        </w:rPr>
        <w:t xml:space="preserve">, which requires public higher education institutions to have a performance funding component in their budget annually. Performance based funding is not about money, but about performance. </w:t>
      </w:r>
      <w:r>
        <w:rPr>
          <w:rFonts w:eastAsia="Calibri"/>
        </w:rPr>
        <w:t xml:space="preserve"> </w:t>
      </w:r>
      <w:r w:rsidRPr="00401A2A">
        <w:rPr>
          <w:rFonts w:eastAsia="Calibri"/>
        </w:rPr>
        <w:t xml:space="preserve">For community colleges, performance </w:t>
      </w:r>
      <w:proofErr w:type="gramStart"/>
      <w:r w:rsidRPr="00401A2A">
        <w:rPr>
          <w:rFonts w:eastAsia="Calibri"/>
        </w:rPr>
        <w:t>is defined</w:t>
      </w:r>
      <w:proofErr w:type="gramEnd"/>
      <w:r w:rsidRPr="00401A2A">
        <w:rPr>
          <w:rFonts w:eastAsia="Calibri"/>
        </w:rPr>
        <w:t xml:space="preserve"> not only by graduation rates, but </w:t>
      </w:r>
      <w:r>
        <w:rPr>
          <w:rFonts w:eastAsia="Calibri"/>
        </w:rPr>
        <w:t xml:space="preserve">also </w:t>
      </w:r>
      <w:r w:rsidRPr="00401A2A">
        <w:rPr>
          <w:rFonts w:eastAsia="Calibri"/>
        </w:rPr>
        <w:t>by entered employment, certificate attainment, persistence, and success towards college</w:t>
      </w:r>
      <w:r>
        <w:rPr>
          <w:rFonts w:eastAsia="Calibri"/>
        </w:rPr>
        <w:t xml:space="preserve"> level coursework.</w:t>
      </w:r>
    </w:p>
    <w:p w:rsidR="003C1210" w:rsidRDefault="003C1210" w:rsidP="003C1210">
      <w:pPr>
        <w:ind w:firstLine="720"/>
        <w:rPr>
          <w:rFonts w:eastAsia="Calibri"/>
        </w:rPr>
      </w:pPr>
    </w:p>
    <w:p w:rsidR="003C1210" w:rsidRDefault="003C1210" w:rsidP="003C1210">
      <w:pPr>
        <w:ind w:firstLine="720"/>
        <w:rPr>
          <w:rFonts w:eastAsia="Calibri"/>
        </w:rPr>
      </w:pPr>
      <w:r>
        <w:rPr>
          <w:rFonts w:eastAsia="Calibri"/>
        </w:rPr>
        <w:t xml:space="preserve">The following three statewide allocations </w:t>
      </w:r>
      <w:proofErr w:type="gramStart"/>
      <w:r>
        <w:rPr>
          <w:rFonts w:eastAsia="Calibri"/>
        </w:rPr>
        <w:t>have been made</w:t>
      </w:r>
      <w:proofErr w:type="gramEnd"/>
      <w:r>
        <w:rPr>
          <w:rFonts w:eastAsia="Calibri"/>
        </w:rPr>
        <w:t>:</w:t>
      </w:r>
    </w:p>
    <w:p w:rsidR="003C1210" w:rsidRDefault="003C1210" w:rsidP="003C1210">
      <w:pPr>
        <w:ind w:firstLine="720"/>
        <w:rPr>
          <w:rFonts w:eastAsia="Calibri"/>
        </w:rPr>
      </w:pPr>
    </w:p>
    <w:p w:rsidR="003C1210" w:rsidRDefault="003C1210" w:rsidP="003C1210">
      <w:pPr>
        <w:pStyle w:val="ListParagraph"/>
        <w:numPr>
          <w:ilvl w:val="0"/>
          <w:numId w:val="2"/>
        </w:numPr>
        <w:rPr>
          <w:rFonts w:eastAsia="Calibri"/>
        </w:rPr>
      </w:pPr>
      <w:r>
        <w:rPr>
          <w:rFonts w:eastAsia="Calibri"/>
        </w:rPr>
        <w:t>FY 2013 – $360,000</w:t>
      </w:r>
    </w:p>
    <w:p w:rsidR="003C1210" w:rsidRDefault="003C1210" w:rsidP="003C1210">
      <w:pPr>
        <w:pStyle w:val="ListParagraph"/>
        <w:numPr>
          <w:ilvl w:val="1"/>
          <w:numId w:val="2"/>
        </w:numPr>
        <w:rPr>
          <w:rFonts w:eastAsia="Calibri"/>
        </w:rPr>
      </w:pPr>
      <w:r>
        <w:rPr>
          <w:rFonts w:eastAsia="Calibri"/>
        </w:rPr>
        <w:t>Sauk’s allocation of $5,809 was 22</w:t>
      </w:r>
      <w:r w:rsidRPr="001001AC">
        <w:rPr>
          <w:rFonts w:eastAsia="Calibri"/>
          <w:vertAlign w:val="superscript"/>
        </w:rPr>
        <w:t>nd</w:t>
      </w:r>
      <w:r>
        <w:rPr>
          <w:rFonts w:eastAsia="Calibri"/>
        </w:rPr>
        <w:t xml:space="preserve"> largest out of 39 colleges.</w:t>
      </w:r>
    </w:p>
    <w:p w:rsidR="003C1210" w:rsidRPr="00E11DD3" w:rsidRDefault="003C1210" w:rsidP="003C1210">
      <w:pPr>
        <w:pStyle w:val="ListParagraph"/>
        <w:ind w:left="2160"/>
        <w:rPr>
          <w:rFonts w:eastAsia="Calibri"/>
        </w:rPr>
      </w:pPr>
    </w:p>
    <w:p w:rsidR="003C1210" w:rsidRDefault="003C1210" w:rsidP="003C1210">
      <w:pPr>
        <w:pStyle w:val="ListParagraph"/>
        <w:numPr>
          <w:ilvl w:val="0"/>
          <w:numId w:val="2"/>
        </w:numPr>
        <w:rPr>
          <w:rFonts w:eastAsia="Calibri"/>
        </w:rPr>
      </w:pPr>
      <w:r>
        <w:rPr>
          <w:rFonts w:eastAsia="Calibri"/>
        </w:rPr>
        <w:t>FY 2014 – $360,000</w:t>
      </w:r>
    </w:p>
    <w:p w:rsidR="003C1210" w:rsidRDefault="003C1210" w:rsidP="003C1210">
      <w:pPr>
        <w:pStyle w:val="ListParagraph"/>
        <w:numPr>
          <w:ilvl w:val="1"/>
          <w:numId w:val="2"/>
        </w:numPr>
        <w:rPr>
          <w:rFonts w:eastAsia="Calibri"/>
        </w:rPr>
      </w:pPr>
      <w:r>
        <w:rPr>
          <w:rFonts w:eastAsia="Calibri"/>
        </w:rPr>
        <w:t xml:space="preserve">Sauk’s allocation of $18,814 was </w:t>
      </w:r>
      <w:proofErr w:type="gramStart"/>
      <w:r>
        <w:rPr>
          <w:rFonts w:eastAsia="Calibri"/>
        </w:rPr>
        <w:t>5</w:t>
      </w:r>
      <w:r w:rsidRPr="001001AC">
        <w:rPr>
          <w:rFonts w:eastAsia="Calibri"/>
          <w:vertAlign w:val="superscript"/>
        </w:rPr>
        <w:t>th</w:t>
      </w:r>
      <w:proofErr w:type="gramEnd"/>
      <w:r>
        <w:rPr>
          <w:rFonts w:eastAsia="Calibri"/>
        </w:rPr>
        <w:t xml:space="preserve"> largest out of 39 colleges.</w:t>
      </w:r>
    </w:p>
    <w:p w:rsidR="003C1210" w:rsidRPr="001001AC" w:rsidRDefault="003C1210" w:rsidP="003C1210">
      <w:pPr>
        <w:pStyle w:val="ListParagraph"/>
        <w:ind w:left="2160"/>
        <w:rPr>
          <w:rFonts w:eastAsia="Calibri"/>
        </w:rPr>
      </w:pPr>
    </w:p>
    <w:p w:rsidR="003C1210" w:rsidRDefault="003C1210" w:rsidP="003C1210">
      <w:pPr>
        <w:pStyle w:val="ListParagraph"/>
        <w:numPr>
          <w:ilvl w:val="0"/>
          <w:numId w:val="2"/>
        </w:numPr>
        <w:rPr>
          <w:rFonts w:eastAsia="Calibri"/>
        </w:rPr>
      </w:pPr>
      <w:r>
        <w:rPr>
          <w:rFonts w:eastAsia="Calibri"/>
        </w:rPr>
        <w:t>FY 2017 – $351,900</w:t>
      </w:r>
    </w:p>
    <w:p w:rsidR="003C1210" w:rsidRDefault="003C1210" w:rsidP="003C1210">
      <w:pPr>
        <w:pStyle w:val="ListParagraph"/>
        <w:numPr>
          <w:ilvl w:val="1"/>
          <w:numId w:val="2"/>
        </w:numPr>
        <w:rPr>
          <w:rFonts w:eastAsia="Calibri"/>
        </w:rPr>
      </w:pPr>
      <w:r>
        <w:rPr>
          <w:rFonts w:eastAsia="Calibri"/>
        </w:rPr>
        <w:t xml:space="preserve">Sauk’s allocation of $16,390 was </w:t>
      </w:r>
      <w:proofErr w:type="gramStart"/>
      <w:r>
        <w:rPr>
          <w:rFonts w:eastAsia="Calibri"/>
        </w:rPr>
        <w:t>4</w:t>
      </w:r>
      <w:r w:rsidRPr="001001AC">
        <w:rPr>
          <w:rFonts w:eastAsia="Calibri"/>
          <w:vertAlign w:val="superscript"/>
        </w:rPr>
        <w:t>th</w:t>
      </w:r>
      <w:proofErr w:type="gramEnd"/>
      <w:r>
        <w:rPr>
          <w:rFonts w:eastAsia="Calibri"/>
        </w:rPr>
        <w:t xml:space="preserve"> largest out of 39 colleges.</w:t>
      </w:r>
    </w:p>
    <w:p w:rsidR="003C1210" w:rsidRPr="00E203D6" w:rsidRDefault="003C1210" w:rsidP="003C1210">
      <w:pPr>
        <w:pStyle w:val="ListParagraph"/>
        <w:ind w:left="2160"/>
        <w:rPr>
          <w:rFonts w:eastAsia="Calibri"/>
        </w:rPr>
      </w:pPr>
    </w:p>
    <w:tbl>
      <w:tblPr>
        <w:tblW w:w="9010" w:type="dxa"/>
        <w:jc w:val="center"/>
        <w:tblLook w:val="04A0" w:firstRow="1" w:lastRow="0" w:firstColumn="1" w:lastColumn="0" w:noHBand="0" w:noVBand="1"/>
      </w:tblPr>
      <w:tblGrid>
        <w:gridCol w:w="5530"/>
        <w:gridCol w:w="1160"/>
        <w:gridCol w:w="1160"/>
        <w:gridCol w:w="1160"/>
      </w:tblGrid>
      <w:tr w:rsidR="003C1210" w:rsidRPr="007A6293" w:rsidTr="009A42FD">
        <w:trPr>
          <w:trHeight w:val="312"/>
          <w:jc w:val="center"/>
        </w:trPr>
        <w:tc>
          <w:tcPr>
            <w:tcW w:w="5530" w:type="dxa"/>
            <w:tcBorders>
              <w:top w:val="single" w:sz="4" w:space="0" w:color="000000"/>
              <w:left w:val="nil"/>
              <w:bottom w:val="single" w:sz="4" w:space="0" w:color="000000"/>
              <w:right w:val="nil"/>
            </w:tcBorders>
            <w:shd w:val="clear" w:color="auto" w:fill="auto"/>
            <w:noWrap/>
            <w:vAlign w:val="center"/>
            <w:hideMark/>
          </w:tcPr>
          <w:p w:rsidR="003C1210" w:rsidRPr="007A6293" w:rsidRDefault="003C1210" w:rsidP="009A42FD">
            <w:pPr>
              <w:rPr>
                <w:b/>
                <w:bCs/>
                <w:color w:val="000000"/>
              </w:rPr>
            </w:pPr>
            <w:r>
              <w:rPr>
                <w:rFonts w:eastAsia="Calibri"/>
                <w:b/>
                <w:bCs/>
                <w:color w:val="000000"/>
              </w:rPr>
              <w:t xml:space="preserve">SVCC’s </w:t>
            </w:r>
            <w:r w:rsidRPr="007A6293">
              <w:rPr>
                <w:rFonts w:eastAsia="Calibri"/>
                <w:b/>
                <w:bCs/>
                <w:color w:val="000000"/>
              </w:rPr>
              <w:t xml:space="preserve">Performance Based Funding </w:t>
            </w:r>
            <w:r>
              <w:rPr>
                <w:rFonts w:eastAsia="Calibri"/>
                <w:b/>
                <w:bCs/>
                <w:color w:val="000000"/>
              </w:rPr>
              <w:t>Allocations by Measure</w:t>
            </w:r>
          </w:p>
        </w:tc>
        <w:tc>
          <w:tcPr>
            <w:tcW w:w="1160" w:type="dxa"/>
            <w:tcBorders>
              <w:top w:val="single" w:sz="4" w:space="0" w:color="000000"/>
              <w:left w:val="nil"/>
              <w:bottom w:val="single" w:sz="4" w:space="0" w:color="000000"/>
              <w:right w:val="nil"/>
            </w:tcBorders>
            <w:shd w:val="clear" w:color="auto" w:fill="auto"/>
            <w:noWrap/>
            <w:vAlign w:val="center"/>
            <w:hideMark/>
          </w:tcPr>
          <w:p w:rsidR="003C1210" w:rsidRPr="007A6293" w:rsidRDefault="003C1210" w:rsidP="009A42FD">
            <w:pPr>
              <w:rPr>
                <w:b/>
                <w:bCs/>
                <w:color w:val="000000"/>
              </w:rPr>
            </w:pPr>
            <w:r w:rsidRPr="007A6293">
              <w:rPr>
                <w:b/>
                <w:bCs/>
                <w:color w:val="000000"/>
              </w:rPr>
              <w:t>FY 2013</w:t>
            </w:r>
          </w:p>
        </w:tc>
        <w:tc>
          <w:tcPr>
            <w:tcW w:w="1160" w:type="dxa"/>
            <w:tcBorders>
              <w:top w:val="single" w:sz="4" w:space="0" w:color="000000"/>
              <w:left w:val="nil"/>
              <w:bottom w:val="single" w:sz="4" w:space="0" w:color="000000"/>
              <w:right w:val="nil"/>
            </w:tcBorders>
            <w:shd w:val="clear" w:color="auto" w:fill="auto"/>
            <w:noWrap/>
            <w:vAlign w:val="center"/>
            <w:hideMark/>
          </w:tcPr>
          <w:p w:rsidR="003C1210" w:rsidRPr="007A6293" w:rsidRDefault="003C1210" w:rsidP="009A42FD">
            <w:pPr>
              <w:rPr>
                <w:b/>
                <w:bCs/>
                <w:color w:val="000000"/>
              </w:rPr>
            </w:pPr>
            <w:r w:rsidRPr="007A6293">
              <w:rPr>
                <w:b/>
                <w:bCs/>
                <w:color w:val="000000"/>
              </w:rPr>
              <w:t>FY 2014</w:t>
            </w:r>
          </w:p>
        </w:tc>
        <w:tc>
          <w:tcPr>
            <w:tcW w:w="1160" w:type="dxa"/>
            <w:tcBorders>
              <w:top w:val="single" w:sz="4" w:space="0" w:color="000000"/>
              <w:left w:val="nil"/>
              <w:bottom w:val="single" w:sz="4" w:space="0" w:color="000000"/>
              <w:right w:val="nil"/>
            </w:tcBorders>
            <w:shd w:val="clear" w:color="auto" w:fill="auto"/>
            <w:noWrap/>
            <w:vAlign w:val="center"/>
            <w:hideMark/>
          </w:tcPr>
          <w:p w:rsidR="003C1210" w:rsidRPr="007A6293" w:rsidRDefault="003C1210" w:rsidP="009A42FD">
            <w:pPr>
              <w:rPr>
                <w:b/>
                <w:bCs/>
                <w:color w:val="000000"/>
              </w:rPr>
            </w:pPr>
            <w:r w:rsidRPr="007A6293">
              <w:rPr>
                <w:b/>
                <w:bCs/>
                <w:color w:val="000000"/>
              </w:rPr>
              <w:t>FY 2017</w:t>
            </w:r>
          </w:p>
        </w:tc>
      </w:tr>
      <w:tr w:rsidR="003C1210" w:rsidRPr="007A6293" w:rsidTr="009A42FD">
        <w:trPr>
          <w:trHeight w:val="312"/>
          <w:jc w:val="center"/>
        </w:trPr>
        <w:tc>
          <w:tcPr>
            <w:tcW w:w="5530" w:type="dxa"/>
            <w:tcBorders>
              <w:top w:val="nil"/>
              <w:left w:val="nil"/>
              <w:bottom w:val="nil"/>
              <w:right w:val="nil"/>
            </w:tcBorders>
            <w:shd w:val="clear" w:color="D9D9D9" w:fill="D9D9D9"/>
            <w:noWrap/>
            <w:vAlign w:val="center"/>
            <w:hideMark/>
          </w:tcPr>
          <w:p w:rsidR="003C1210" w:rsidRPr="007A6293" w:rsidRDefault="003C1210" w:rsidP="009A42FD">
            <w:pPr>
              <w:rPr>
                <w:color w:val="000000"/>
              </w:rPr>
            </w:pPr>
            <w:r w:rsidRPr="007A6293">
              <w:rPr>
                <w:rFonts w:eastAsia="Calibri"/>
                <w:color w:val="000000"/>
              </w:rPr>
              <w:t>Degree &amp; Certificate Completion</w:t>
            </w: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jc w:val="right"/>
              <w:rPr>
                <w:color w:val="000000"/>
              </w:rPr>
            </w:pPr>
            <w:r w:rsidRPr="007A6293">
              <w:rPr>
                <w:color w:val="000000"/>
              </w:rPr>
              <w:t>$2,130</w:t>
            </w: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jc w:val="right"/>
              <w:rPr>
                <w:color w:val="000000"/>
              </w:rPr>
            </w:pPr>
            <w:r w:rsidRPr="007A6293">
              <w:rPr>
                <w:color w:val="000000"/>
              </w:rPr>
              <w:t>$8,516</w:t>
            </w: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jc w:val="right"/>
              <w:rPr>
                <w:color w:val="000000"/>
              </w:rPr>
            </w:pPr>
            <w:r w:rsidRPr="007A6293">
              <w:rPr>
                <w:rFonts w:eastAsia="Calibri"/>
                <w:color w:val="000000"/>
              </w:rPr>
              <w:t>$2,015</w:t>
            </w:r>
          </w:p>
        </w:tc>
      </w:tr>
      <w:tr w:rsidR="003C1210" w:rsidRPr="007A6293" w:rsidTr="009A42FD">
        <w:trPr>
          <w:trHeight w:val="312"/>
          <w:jc w:val="center"/>
        </w:trPr>
        <w:tc>
          <w:tcPr>
            <w:tcW w:w="5530" w:type="dxa"/>
            <w:tcBorders>
              <w:top w:val="nil"/>
              <w:left w:val="nil"/>
              <w:bottom w:val="nil"/>
              <w:right w:val="nil"/>
            </w:tcBorders>
            <w:shd w:val="clear" w:color="auto" w:fill="auto"/>
            <w:noWrap/>
            <w:vAlign w:val="center"/>
            <w:hideMark/>
          </w:tcPr>
          <w:p w:rsidR="003C1210" w:rsidRPr="007A6293" w:rsidRDefault="003C1210" w:rsidP="009A42FD">
            <w:pPr>
              <w:rPr>
                <w:color w:val="000000"/>
              </w:rPr>
            </w:pPr>
            <w:r w:rsidRPr="007A6293">
              <w:rPr>
                <w:rFonts w:eastAsia="Calibri"/>
                <w:color w:val="000000"/>
              </w:rPr>
              <w:t>Degree &amp; Certificate Completion of At Risk Students</w:t>
            </w:r>
          </w:p>
        </w:tc>
        <w:tc>
          <w:tcPr>
            <w:tcW w:w="1160" w:type="dxa"/>
            <w:tcBorders>
              <w:top w:val="nil"/>
              <w:left w:val="nil"/>
              <w:bottom w:val="nil"/>
              <w:right w:val="nil"/>
            </w:tcBorders>
            <w:shd w:val="clear" w:color="auto" w:fill="auto"/>
            <w:noWrap/>
            <w:vAlign w:val="center"/>
            <w:hideMark/>
          </w:tcPr>
          <w:p w:rsidR="003C1210" w:rsidRPr="007A6293" w:rsidRDefault="003C1210" w:rsidP="009A42FD">
            <w:pPr>
              <w:jc w:val="right"/>
              <w:rPr>
                <w:color w:val="000000"/>
              </w:rPr>
            </w:pPr>
            <w:r w:rsidRPr="007A6293">
              <w:rPr>
                <w:color w:val="000000"/>
              </w:rPr>
              <w:t>$3,202</w:t>
            </w:r>
          </w:p>
        </w:tc>
        <w:tc>
          <w:tcPr>
            <w:tcW w:w="1160" w:type="dxa"/>
            <w:tcBorders>
              <w:top w:val="nil"/>
              <w:left w:val="nil"/>
              <w:bottom w:val="nil"/>
              <w:right w:val="nil"/>
            </w:tcBorders>
            <w:shd w:val="clear" w:color="auto" w:fill="auto"/>
            <w:noWrap/>
            <w:vAlign w:val="center"/>
            <w:hideMark/>
          </w:tcPr>
          <w:p w:rsidR="003C1210" w:rsidRPr="007A6293" w:rsidRDefault="003C1210" w:rsidP="009A42FD">
            <w:pPr>
              <w:jc w:val="right"/>
              <w:rPr>
                <w:color w:val="000000"/>
              </w:rPr>
            </w:pPr>
            <w:r w:rsidRPr="007A6293">
              <w:rPr>
                <w:color w:val="000000"/>
              </w:rPr>
              <w:t>$1,364</w:t>
            </w:r>
          </w:p>
        </w:tc>
        <w:tc>
          <w:tcPr>
            <w:tcW w:w="1160" w:type="dxa"/>
            <w:tcBorders>
              <w:top w:val="nil"/>
              <w:left w:val="nil"/>
              <w:bottom w:val="nil"/>
              <w:right w:val="nil"/>
            </w:tcBorders>
            <w:shd w:val="clear" w:color="auto" w:fill="auto"/>
            <w:noWrap/>
            <w:vAlign w:val="center"/>
            <w:hideMark/>
          </w:tcPr>
          <w:p w:rsidR="003C1210" w:rsidRPr="007A6293" w:rsidRDefault="003C1210" w:rsidP="009A42FD">
            <w:pPr>
              <w:jc w:val="right"/>
              <w:rPr>
                <w:color w:val="000000"/>
              </w:rPr>
            </w:pPr>
            <w:r w:rsidRPr="007A6293">
              <w:rPr>
                <w:rFonts w:eastAsia="Calibri"/>
                <w:color w:val="000000"/>
              </w:rPr>
              <w:t>$780</w:t>
            </w:r>
          </w:p>
        </w:tc>
      </w:tr>
      <w:tr w:rsidR="003C1210" w:rsidRPr="007A6293" w:rsidTr="009A42FD">
        <w:trPr>
          <w:trHeight w:val="312"/>
          <w:jc w:val="center"/>
        </w:trPr>
        <w:tc>
          <w:tcPr>
            <w:tcW w:w="5530" w:type="dxa"/>
            <w:tcBorders>
              <w:top w:val="nil"/>
              <w:left w:val="nil"/>
              <w:bottom w:val="nil"/>
              <w:right w:val="nil"/>
            </w:tcBorders>
            <w:shd w:val="clear" w:color="D9D9D9" w:fill="D9D9D9"/>
            <w:noWrap/>
            <w:vAlign w:val="center"/>
            <w:hideMark/>
          </w:tcPr>
          <w:p w:rsidR="003C1210" w:rsidRPr="007A6293" w:rsidRDefault="003C1210" w:rsidP="009A42FD">
            <w:pPr>
              <w:rPr>
                <w:color w:val="000000"/>
              </w:rPr>
            </w:pPr>
            <w:r w:rsidRPr="007A6293">
              <w:rPr>
                <w:rFonts w:eastAsia="Calibri"/>
                <w:color w:val="000000"/>
              </w:rPr>
              <w:t>Transfer to a 4-year Institution</w:t>
            </w: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rPr>
                <w:color w:val="000000"/>
              </w:rPr>
            </w:pP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jc w:val="right"/>
              <w:rPr>
                <w:color w:val="000000"/>
              </w:rPr>
            </w:pPr>
            <w:r w:rsidRPr="007A6293">
              <w:rPr>
                <w:color w:val="000000"/>
              </w:rPr>
              <w:t>$2,402</w:t>
            </w: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jc w:val="right"/>
              <w:rPr>
                <w:color w:val="000000"/>
              </w:rPr>
            </w:pPr>
            <w:r w:rsidRPr="007A6293">
              <w:rPr>
                <w:rFonts w:eastAsia="Calibri"/>
                <w:color w:val="000000"/>
              </w:rPr>
              <w:t>$60</w:t>
            </w:r>
          </w:p>
        </w:tc>
      </w:tr>
      <w:tr w:rsidR="003C1210" w:rsidRPr="007A6293" w:rsidTr="009A42FD">
        <w:trPr>
          <w:trHeight w:val="312"/>
          <w:jc w:val="center"/>
        </w:trPr>
        <w:tc>
          <w:tcPr>
            <w:tcW w:w="5530" w:type="dxa"/>
            <w:tcBorders>
              <w:top w:val="nil"/>
              <w:left w:val="nil"/>
              <w:bottom w:val="nil"/>
              <w:right w:val="nil"/>
            </w:tcBorders>
            <w:shd w:val="clear" w:color="auto" w:fill="auto"/>
            <w:noWrap/>
            <w:vAlign w:val="center"/>
            <w:hideMark/>
          </w:tcPr>
          <w:p w:rsidR="003C1210" w:rsidRPr="007A6293" w:rsidRDefault="003C1210" w:rsidP="009A42FD">
            <w:pPr>
              <w:rPr>
                <w:color w:val="000000"/>
              </w:rPr>
            </w:pPr>
            <w:r w:rsidRPr="007A6293">
              <w:rPr>
                <w:rFonts w:eastAsia="Calibri"/>
                <w:color w:val="000000"/>
              </w:rPr>
              <w:t>Developmental Advancement</w:t>
            </w:r>
          </w:p>
        </w:tc>
        <w:tc>
          <w:tcPr>
            <w:tcW w:w="1160" w:type="dxa"/>
            <w:tcBorders>
              <w:top w:val="nil"/>
              <w:left w:val="nil"/>
              <w:bottom w:val="nil"/>
              <w:right w:val="nil"/>
            </w:tcBorders>
            <w:shd w:val="clear" w:color="auto" w:fill="auto"/>
            <w:noWrap/>
            <w:vAlign w:val="center"/>
            <w:hideMark/>
          </w:tcPr>
          <w:p w:rsidR="003C1210" w:rsidRPr="007A6293" w:rsidRDefault="003C1210" w:rsidP="009A42FD">
            <w:pPr>
              <w:rPr>
                <w:color w:val="000000"/>
              </w:rPr>
            </w:pPr>
          </w:p>
        </w:tc>
        <w:tc>
          <w:tcPr>
            <w:tcW w:w="1160" w:type="dxa"/>
            <w:tcBorders>
              <w:top w:val="nil"/>
              <w:left w:val="nil"/>
              <w:bottom w:val="nil"/>
              <w:right w:val="nil"/>
            </w:tcBorders>
            <w:shd w:val="clear" w:color="auto" w:fill="auto"/>
            <w:noWrap/>
            <w:vAlign w:val="center"/>
            <w:hideMark/>
          </w:tcPr>
          <w:p w:rsidR="003C1210" w:rsidRPr="007A6293" w:rsidRDefault="003C1210" w:rsidP="009A42FD">
            <w:pPr>
              <w:jc w:val="right"/>
              <w:rPr>
                <w:color w:val="000000"/>
              </w:rPr>
            </w:pPr>
            <w:r w:rsidRPr="007A6293">
              <w:rPr>
                <w:color w:val="000000"/>
              </w:rPr>
              <w:t>$5,946</w:t>
            </w:r>
          </w:p>
        </w:tc>
        <w:tc>
          <w:tcPr>
            <w:tcW w:w="1160" w:type="dxa"/>
            <w:tcBorders>
              <w:top w:val="nil"/>
              <w:left w:val="nil"/>
              <w:bottom w:val="nil"/>
              <w:right w:val="nil"/>
            </w:tcBorders>
            <w:shd w:val="clear" w:color="auto" w:fill="auto"/>
            <w:noWrap/>
            <w:vAlign w:val="center"/>
            <w:hideMark/>
          </w:tcPr>
          <w:p w:rsidR="003C1210" w:rsidRPr="007A6293" w:rsidRDefault="003C1210" w:rsidP="009A42FD">
            <w:pPr>
              <w:jc w:val="right"/>
              <w:rPr>
                <w:color w:val="000000"/>
              </w:rPr>
            </w:pPr>
            <w:r w:rsidRPr="007A6293">
              <w:rPr>
                <w:rFonts w:eastAsia="Calibri"/>
                <w:color w:val="000000"/>
              </w:rPr>
              <w:t>$560</w:t>
            </w:r>
          </w:p>
        </w:tc>
      </w:tr>
      <w:tr w:rsidR="003C1210" w:rsidRPr="007A6293" w:rsidTr="009A42FD">
        <w:trPr>
          <w:trHeight w:val="312"/>
          <w:jc w:val="center"/>
        </w:trPr>
        <w:tc>
          <w:tcPr>
            <w:tcW w:w="5530" w:type="dxa"/>
            <w:tcBorders>
              <w:top w:val="nil"/>
              <w:left w:val="nil"/>
              <w:bottom w:val="nil"/>
              <w:right w:val="nil"/>
            </w:tcBorders>
            <w:shd w:val="clear" w:color="D9D9D9" w:fill="D9D9D9"/>
            <w:noWrap/>
            <w:vAlign w:val="center"/>
            <w:hideMark/>
          </w:tcPr>
          <w:p w:rsidR="003C1210" w:rsidRPr="007A6293" w:rsidRDefault="003C1210" w:rsidP="009A42FD">
            <w:pPr>
              <w:rPr>
                <w:color w:val="000000"/>
              </w:rPr>
            </w:pPr>
            <w:r w:rsidRPr="007A6293">
              <w:rPr>
                <w:rFonts w:eastAsia="Calibri"/>
                <w:color w:val="000000"/>
              </w:rPr>
              <w:t>Momentum Points</w:t>
            </w: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rPr>
                <w:color w:val="000000"/>
              </w:rPr>
            </w:pP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jc w:val="right"/>
              <w:rPr>
                <w:color w:val="000000"/>
              </w:rPr>
            </w:pPr>
            <w:r w:rsidRPr="007A6293">
              <w:rPr>
                <w:color w:val="000000"/>
              </w:rPr>
              <w:t>$474</w:t>
            </w:r>
          </w:p>
        </w:tc>
        <w:tc>
          <w:tcPr>
            <w:tcW w:w="1160" w:type="dxa"/>
            <w:tcBorders>
              <w:top w:val="nil"/>
              <w:left w:val="nil"/>
              <w:bottom w:val="nil"/>
              <w:right w:val="nil"/>
            </w:tcBorders>
            <w:shd w:val="clear" w:color="D9D9D9" w:fill="D9D9D9"/>
            <w:noWrap/>
            <w:vAlign w:val="center"/>
            <w:hideMark/>
          </w:tcPr>
          <w:p w:rsidR="003C1210" w:rsidRPr="007A6293" w:rsidRDefault="003C1210" w:rsidP="009A42FD">
            <w:pPr>
              <w:jc w:val="right"/>
              <w:rPr>
                <w:color w:val="000000"/>
              </w:rPr>
            </w:pPr>
            <w:r w:rsidRPr="007A6293">
              <w:rPr>
                <w:rFonts w:eastAsia="Calibri"/>
                <w:color w:val="000000"/>
              </w:rPr>
              <w:t>$7,115</w:t>
            </w:r>
          </w:p>
        </w:tc>
      </w:tr>
      <w:tr w:rsidR="003C1210" w:rsidRPr="007A6293" w:rsidTr="009A42FD">
        <w:trPr>
          <w:trHeight w:val="312"/>
          <w:jc w:val="center"/>
        </w:trPr>
        <w:tc>
          <w:tcPr>
            <w:tcW w:w="5530" w:type="dxa"/>
            <w:tcBorders>
              <w:top w:val="nil"/>
              <w:left w:val="nil"/>
              <w:bottom w:val="nil"/>
              <w:right w:val="nil"/>
            </w:tcBorders>
            <w:shd w:val="clear" w:color="auto" w:fill="auto"/>
            <w:noWrap/>
            <w:vAlign w:val="center"/>
            <w:hideMark/>
          </w:tcPr>
          <w:p w:rsidR="003C1210" w:rsidRPr="007A6293" w:rsidRDefault="003C1210" w:rsidP="009A42FD">
            <w:pPr>
              <w:rPr>
                <w:color w:val="000000"/>
              </w:rPr>
            </w:pPr>
            <w:r w:rsidRPr="007A6293">
              <w:rPr>
                <w:rFonts w:eastAsia="Calibri"/>
                <w:color w:val="000000"/>
              </w:rPr>
              <w:t>Transfer to a Community College</w:t>
            </w:r>
          </w:p>
        </w:tc>
        <w:tc>
          <w:tcPr>
            <w:tcW w:w="1160" w:type="dxa"/>
            <w:tcBorders>
              <w:top w:val="nil"/>
              <w:left w:val="nil"/>
              <w:bottom w:val="nil"/>
              <w:right w:val="nil"/>
            </w:tcBorders>
            <w:shd w:val="clear" w:color="auto" w:fill="auto"/>
            <w:noWrap/>
            <w:vAlign w:val="center"/>
            <w:hideMark/>
          </w:tcPr>
          <w:p w:rsidR="003C1210" w:rsidRPr="007A6293" w:rsidRDefault="003C1210" w:rsidP="009A42FD">
            <w:pPr>
              <w:jc w:val="right"/>
              <w:rPr>
                <w:color w:val="000000"/>
              </w:rPr>
            </w:pPr>
            <w:r w:rsidRPr="007A6293">
              <w:rPr>
                <w:color w:val="000000"/>
              </w:rPr>
              <w:t>$477</w:t>
            </w:r>
          </w:p>
        </w:tc>
        <w:tc>
          <w:tcPr>
            <w:tcW w:w="1160" w:type="dxa"/>
            <w:tcBorders>
              <w:top w:val="nil"/>
              <w:left w:val="nil"/>
              <w:bottom w:val="nil"/>
              <w:right w:val="nil"/>
            </w:tcBorders>
            <w:shd w:val="clear" w:color="auto" w:fill="auto"/>
            <w:noWrap/>
            <w:vAlign w:val="center"/>
            <w:hideMark/>
          </w:tcPr>
          <w:p w:rsidR="003C1210" w:rsidRPr="007A6293" w:rsidRDefault="003C1210" w:rsidP="009A42FD">
            <w:pPr>
              <w:jc w:val="right"/>
              <w:rPr>
                <w:color w:val="000000"/>
              </w:rPr>
            </w:pPr>
            <w:r w:rsidRPr="007A6293">
              <w:rPr>
                <w:color w:val="000000"/>
              </w:rPr>
              <w:t>$112</w:t>
            </w:r>
          </w:p>
        </w:tc>
        <w:tc>
          <w:tcPr>
            <w:tcW w:w="1160" w:type="dxa"/>
            <w:tcBorders>
              <w:top w:val="nil"/>
              <w:left w:val="nil"/>
              <w:bottom w:val="nil"/>
              <w:right w:val="nil"/>
            </w:tcBorders>
            <w:shd w:val="clear" w:color="auto" w:fill="auto"/>
            <w:noWrap/>
            <w:vAlign w:val="center"/>
            <w:hideMark/>
          </w:tcPr>
          <w:p w:rsidR="003C1210" w:rsidRPr="007A6293" w:rsidRDefault="003C1210" w:rsidP="009A42FD">
            <w:pPr>
              <w:jc w:val="right"/>
              <w:rPr>
                <w:color w:val="000000"/>
              </w:rPr>
            </w:pPr>
            <w:r w:rsidRPr="007A6293">
              <w:rPr>
                <w:rFonts w:eastAsia="Calibri"/>
                <w:color w:val="000000"/>
              </w:rPr>
              <w:t>$5,860</w:t>
            </w:r>
          </w:p>
        </w:tc>
      </w:tr>
      <w:tr w:rsidR="003C1210" w:rsidRPr="007A6293" w:rsidTr="009A42FD">
        <w:trPr>
          <w:trHeight w:val="312"/>
          <w:jc w:val="center"/>
        </w:trPr>
        <w:tc>
          <w:tcPr>
            <w:tcW w:w="5530" w:type="dxa"/>
            <w:tcBorders>
              <w:top w:val="nil"/>
              <w:left w:val="nil"/>
              <w:bottom w:val="single" w:sz="4" w:space="0" w:color="000000"/>
              <w:right w:val="nil"/>
            </w:tcBorders>
            <w:shd w:val="clear" w:color="D9D9D9" w:fill="D9D9D9"/>
            <w:noWrap/>
            <w:vAlign w:val="center"/>
            <w:hideMark/>
          </w:tcPr>
          <w:p w:rsidR="003C1210" w:rsidRPr="00F356ED" w:rsidRDefault="003C1210" w:rsidP="009A42FD">
            <w:pPr>
              <w:rPr>
                <w:b/>
                <w:color w:val="000000"/>
              </w:rPr>
            </w:pPr>
            <w:r w:rsidRPr="00F356ED">
              <w:rPr>
                <w:b/>
                <w:color w:val="000000"/>
              </w:rPr>
              <w:t>Total</w:t>
            </w:r>
          </w:p>
        </w:tc>
        <w:tc>
          <w:tcPr>
            <w:tcW w:w="1160" w:type="dxa"/>
            <w:tcBorders>
              <w:top w:val="nil"/>
              <w:left w:val="nil"/>
              <w:bottom w:val="single" w:sz="4" w:space="0" w:color="000000"/>
              <w:right w:val="nil"/>
            </w:tcBorders>
            <w:shd w:val="clear" w:color="D9D9D9" w:fill="D9D9D9"/>
            <w:noWrap/>
            <w:vAlign w:val="center"/>
            <w:hideMark/>
          </w:tcPr>
          <w:p w:rsidR="003C1210" w:rsidRPr="00F356ED" w:rsidRDefault="003C1210" w:rsidP="009A42FD">
            <w:pPr>
              <w:jc w:val="right"/>
              <w:rPr>
                <w:b/>
                <w:color w:val="000000"/>
              </w:rPr>
            </w:pPr>
            <w:r w:rsidRPr="00F356ED">
              <w:rPr>
                <w:b/>
                <w:color w:val="000000"/>
              </w:rPr>
              <w:t>$5,809</w:t>
            </w:r>
          </w:p>
        </w:tc>
        <w:tc>
          <w:tcPr>
            <w:tcW w:w="1160" w:type="dxa"/>
            <w:tcBorders>
              <w:top w:val="nil"/>
              <w:left w:val="nil"/>
              <w:bottom w:val="single" w:sz="4" w:space="0" w:color="000000"/>
              <w:right w:val="nil"/>
            </w:tcBorders>
            <w:shd w:val="clear" w:color="D9D9D9" w:fill="D9D9D9"/>
            <w:noWrap/>
            <w:vAlign w:val="center"/>
            <w:hideMark/>
          </w:tcPr>
          <w:p w:rsidR="003C1210" w:rsidRPr="00F356ED" w:rsidRDefault="003C1210" w:rsidP="009A42FD">
            <w:pPr>
              <w:jc w:val="right"/>
              <w:rPr>
                <w:b/>
                <w:color w:val="000000"/>
              </w:rPr>
            </w:pPr>
            <w:r w:rsidRPr="00F356ED">
              <w:rPr>
                <w:b/>
                <w:color w:val="000000"/>
              </w:rPr>
              <w:t>$18,814</w:t>
            </w:r>
          </w:p>
        </w:tc>
        <w:tc>
          <w:tcPr>
            <w:tcW w:w="1160" w:type="dxa"/>
            <w:tcBorders>
              <w:top w:val="nil"/>
              <w:left w:val="nil"/>
              <w:bottom w:val="single" w:sz="4" w:space="0" w:color="000000"/>
              <w:right w:val="nil"/>
            </w:tcBorders>
            <w:shd w:val="clear" w:color="D9D9D9" w:fill="D9D9D9"/>
            <w:noWrap/>
            <w:vAlign w:val="center"/>
            <w:hideMark/>
          </w:tcPr>
          <w:p w:rsidR="003C1210" w:rsidRPr="00F356ED" w:rsidRDefault="003C1210" w:rsidP="009A42FD">
            <w:pPr>
              <w:jc w:val="right"/>
              <w:rPr>
                <w:b/>
                <w:color w:val="000000"/>
              </w:rPr>
            </w:pPr>
            <w:r w:rsidRPr="00F356ED">
              <w:rPr>
                <w:b/>
                <w:color w:val="000000"/>
              </w:rPr>
              <w:t>$16,390</w:t>
            </w:r>
          </w:p>
        </w:tc>
      </w:tr>
    </w:tbl>
    <w:p w:rsidR="003C1210" w:rsidRDefault="003C1210" w:rsidP="003C1210">
      <w:pPr>
        <w:spacing w:after="160" w:line="259" w:lineRule="auto"/>
        <w:rPr>
          <w:rFonts w:eastAsia="Calibri"/>
        </w:rPr>
      </w:pPr>
      <w:r>
        <w:rPr>
          <w:rFonts w:eastAsia="Calibri"/>
        </w:rPr>
        <w:br w:type="page"/>
      </w:r>
    </w:p>
    <w:p w:rsidR="003C1210" w:rsidRDefault="003C1210" w:rsidP="003C1210">
      <w:pPr>
        <w:spacing w:after="160" w:line="259" w:lineRule="auto"/>
        <w:jc w:val="center"/>
        <w:rPr>
          <w:rFonts w:eastAsia="Calibri"/>
        </w:rPr>
      </w:pPr>
      <w:r>
        <w:rPr>
          <w:noProof/>
        </w:rPr>
        <w:lastRenderedPageBreak/>
        <w:drawing>
          <wp:inline distT="0" distB="0" distL="0" distR="0" wp14:anchorId="7B3E1C3A" wp14:editId="18CDC4A0">
            <wp:extent cx="2709333" cy="1095263"/>
            <wp:effectExtent l="0" t="0" r="0" b="0"/>
            <wp:docPr id="6" name="Picture 6" descr="Image result for noel levitz student satisfaction 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oel levitz student satisfaction ssi"/>
                    <pic:cNvPicPr>
                      <a:picLocks noChangeAspect="1" noChangeArrowheads="1"/>
                    </pic:cNvPicPr>
                  </pic:nvPicPr>
                  <pic:blipFill rotWithShape="1">
                    <a:blip r:embed="rId8">
                      <a:extLst>
                        <a:ext uri="{28A0092B-C50C-407E-A947-70E740481C1C}">
                          <a14:useLocalDpi xmlns:a14="http://schemas.microsoft.com/office/drawing/2010/main" val="0"/>
                        </a:ext>
                      </a:extLst>
                    </a:blip>
                    <a:srcRect l="1" t="-356" r="-178" b="46071"/>
                    <a:stretch/>
                  </pic:blipFill>
                  <pic:spPr bwMode="auto">
                    <a:xfrm>
                      <a:off x="0" y="0"/>
                      <a:ext cx="2741271" cy="1108174"/>
                    </a:xfrm>
                    <a:prstGeom prst="rect">
                      <a:avLst/>
                    </a:prstGeom>
                    <a:noFill/>
                    <a:ln>
                      <a:noFill/>
                    </a:ln>
                    <a:extLst>
                      <a:ext uri="{53640926-AAD7-44D8-BBD7-CCE9431645EC}">
                        <a14:shadowObscured xmlns:a14="http://schemas.microsoft.com/office/drawing/2010/main"/>
                      </a:ext>
                    </a:extLst>
                  </pic:spPr>
                </pic:pic>
              </a:graphicData>
            </a:graphic>
          </wp:inline>
        </w:drawing>
      </w:r>
    </w:p>
    <w:p w:rsidR="003C1210" w:rsidRDefault="003C1210" w:rsidP="003C1210">
      <w:pPr>
        <w:ind w:firstLine="720"/>
        <w:rPr>
          <w:rFonts w:eastAsia="Calibri"/>
        </w:rPr>
      </w:pPr>
      <w:r w:rsidRPr="003C5BA7">
        <w:rPr>
          <w:rFonts w:eastAsia="Calibri"/>
        </w:rPr>
        <w:t xml:space="preserve">The </w:t>
      </w:r>
      <w:r w:rsidRPr="00312246">
        <w:rPr>
          <w:rFonts w:eastAsia="Calibri"/>
          <w:b/>
        </w:rPr>
        <w:t>Student Satisfaction Inventory</w:t>
      </w:r>
      <w:r>
        <w:rPr>
          <w:rFonts w:eastAsia="Calibri"/>
        </w:rPr>
        <w:t xml:space="preserve"> (SSI) gives the College</w:t>
      </w:r>
      <w:r w:rsidRPr="003C5BA7">
        <w:rPr>
          <w:rFonts w:eastAsia="Calibri"/>
        </w:rPr>
        <w:t xml:space="preserve"> a powerful tool to improve the quality of student life and learning. </w:t>
      </w:r>
      <w:r>
        <w:rPr>
          <w:rFonts w:eastAsia="Calibri"/>
        </w:rPr>
        <w:t xml:space="preserve"> </w:t>
      </w:r>
      <w:r w:rsidRPr="003C5BA7">
        <w:rPr>
          <w:rFonts w:eastAsia="Calibri"/>
        </w:rPr>
        <w:t>It measures student satisfac</w:t>
      </w:r>
      <w:r>
        <w:rPr>
          <w:rFonts w:eastAsia="Calibri"/>
        </w:rPr>
        <w:t>tion and priorities, showing</w:t>
      </w:r>
      <w:r w:rsidRPr="003C5BA7">
        <w:rPr>
          <w:rFonts w:eastAsia="Calibri"/>
        </w:rPr>
        <w:t xml:space="preserve"> how satisfied students are as well as what issues are impor</w:t>
      </w:r>
      <w:r>
        <w:rPr>
          <w:rFonts w:eastAsia="Calibri"/>
        </w:rPr>
        <w:t xml:space="preserve">tant to them.  </w:t>
      </w:r>
    </w:p>
    <w:p w:rsidR="003C1210" w:rsidRDefault="003C1210" w:rsidP="003C1210">
      <w:pPr>
        <w:ind w:firstLine="720"/>
        <w:rPr>
          <w:rFonts w:eastAsia="Calibri"/>
        </w:rPr>
      </w:pPr>
      <w:r w:rsidRPr="00FC6D54">
        <w:rPr>
          <w:rFonts w:eastAsia="Calibri"/>
        </w:rPr>
        <w:t>Sauk’s r</w:t>
      </w:r>
      <w:r>
        <w:rPr>
          <w:rFonts w:eastAsia="Calibri"/>
        </w:rPr>
        <w:t>esults from the 2017 SSI</w:t>
      </w:r>
      <w:r w:rsidRPr="00FC6D54">
        <w:rPr>
          <w:rFonts w:eastAsia="Calibri"/>
        </w:rPr>
        <w:t xml:space="preserve"> consistently scored in the 95</w:t>
      </w:r>
      <w:r w:rsidRPr="00FC6D54">
        <w:rPr>
          <w:rFonts w:eastAsia="Calibri"/>
          <w:vertAlign w:val="superscript"/>
        </w:rPr>
        <w:t>th</w:t>
      </w:r>
      <w:r w:rsidRPr="00FC6D54">
        <w:rPr>
          <w:rFonts w:eastAsia="Calibri"/>
        </w:rPr>
        <w:t xml:space="preserve"> percentile of colleges nationally. </w:t>
      </w:r>
      <w:r>
        <w:rPr>
          <w:rFonts w:eastAsia="Calibri"/>
        </w:rPr>
        <w:t xml:space="preserve"> </w:t>
      </w:r>
      <w:r w:rsidRPr="00FC6D54">
        <w:rPr>
          <w:rFonts w:eastAsia="Calibri"/>
        </w:rPr>
        <w:t xml:space="preserve">For example, when asked if they are able to experience intellectual growth at SVCC, Sauk’s </w:t>
      </w:r>
      <w:proofErr w:type="gramStart"/>
      <w:r w:rsidRPr="00FC6D54">
        <w:rPr>
          <w:rFonts w:eastAsia="Calibri"/>
        </w:rPr>
        <w:t>students</w:t>
      </w:r>
      <w:proofErr w:type="gramEnd"/>
      <w:r w:rsidRPr="00FC6D54">
        <w:rPr>
          <w:rFonts w:eastAsia="Calibri"/>
        </w:rPr>
        <w:t xml:space="preserve"> rate the college 6.28 compared to 5.92 nationally, a 0.36 difference that is statistically significant at the .001 level. </w:t>
      </w:r>
      <w:r>
        <w:rPr>
          <w:rFonts w:eastAsia="Calibri"/>
        </w:rPr>
        <w:t xml:space="preserve"> </w:t>
      </w:r>
      <w:r w:rsidRPr="00FC6D54">
        <w:rPr>
          <w:rFonts w:eastAsia="Calibri"/>
        </w:rPr>
        <w:t xml:space="preserve">This rating reflects the commitment of Sauk’s faculty and staff to the academic success of our students. </w:t>
      </w:r>
    </w:p>
    <w:p w:rsidR="003C1210" w:rsidRDefault="003C1210" w:rsidP="003C1210">
      <w:pPr>
        <w:ind w:firstLine="720"/>
        <w:rPr>
          <w:rFonts w:eastAsia="Calibri"/>
        </w:rPr>
      </w:pPr>
    </w:p>
    <w:tbl>
      <w:tblPr>
        <w:tblW w:w="90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090"/>
      </w:tblGrid>
      <w:tr w:rsidR="003C1210" w:rsidRPr="00105DF1" w:rsidTr="009A42FD">
        <w:tc>
          <w:tcPr>
            <w:tcW w:w="9090" w:type="dxa"/>
            <w:tcBorders>
              <w:top w:val="nil"/>
              <w:left w:val="nil"/>
              <w:bottom w:val="nil"/>
              <w:right w:val="nil"/>
            </w:tcBorders>
            <w:shd w:val="clear" w:color="auto" w:fill="80561B"/>
            <w:tcMar>
              <w:top w:w="36" w:type="dxa"/>
              <w:left w:w="120" w:type="dxa"/>
              <w:bottom w:w="36" w:type="dxa"/>
              <w:right w:w="120" w:type="dxa"/>
            </w:tcMar>
            <w:hideMark/>
          </w:tcPr>
          <w:p w:rsidR="003C1210" w:rsidRPr="00105DF1" w:rsidRDefault="003C1210" w:rsidP="009A42FD">
            <w:pPr>
              <w:rPr>
                <w:b/>
                <w:bCs/>
                <w:color w:val="FFFFFF"/>
              </w:rPr>
            </w:pPr>
            <w:r w:rsidRPr="00105DF1">
              <w:rPr>
                <w:b/>
                <w:bCs/>
                <w:color w:val="FFFFFF"/>
              </w:rPr>
              <w:t>Strengths</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31. The campus is safe and secure for all students.</w:t>
            </w:r>
          </w:p>
        </w:tc>
      </w:tr>
      <w:tr w:rsidR="003C1210" w:rsidRPr="00105DF1" w:rsidTr="009A42FD">
        <w:tc>
          <w:tcPr>
            <w:tcW w:w="9090" w:type="dxa"/>
            <w:tcBorders>
              <w:top w:val="nil"/>
              <w:left w:val="nil"/>
              <w:bottom w:val="nil"/>
              <w:right w:val="nil"/>
            </w:tcBorders>
            <w:tcMar>
              <w:top w:w="36" w:type="dxa"/>
              <w:left w:w="120" w:type="dxa"/>
              <w:bottom w:w="36" w:type="dxa"/>
              <w:right w:w="120" w:type="dxa"/>
            </w:tcMar>
            <w:hideMark/>
          </w:tcPr>
          <w:p w:rsidR="003C1210" w:rsidRPr="00105DF1" w:rsidRDefault="003C1210" w:rsidP="009A42FD">
            <w:pPr>
              <w:rPr>
                <w:color w:val="000000"/>
              </w:rPr>
            </w:pPr>
            <w:r w:rsidRPr="00105DF1">
              <w:rPr>
                <w:color w:val="000000"/>
              </w:rPr>
              <w:t>70. I am able to experience intellectual growth here.</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58. Nearly all of the faculty are knowledgeable in their fields.</w:t>
            </w:r>
          </w:p>
        </w:tc>
      </w:tr>
      <w:tr w:rsidR="003C1210" w:rsidRPr="00105DF1" w:rsidTr="009A42FD">
        <w:tc>
          <w:tcPr>
            <w:tcW w:w="9090" w:type="dxa"/>
            <w:tcBorders>
              <w:top w:val="nil"/>
              <w:left w:val="nil"/>
              <w:bottom w:val="nil"/>
              <w:right w:val="nil"/>
            </w:tcBorders>
            <w:tcMar>
              <w:top w:w="36" w:type="dxa"/>
              <w:left w:w="120" w:type="dxa"/>
              <w:bottom w:w="36" w:type="dxa"/>
              <w:right w:w="120" w:type="dxa"/>
            </w:tcMar>
            <w:hideMark/>
          </w:tcPr>
          <w:p w:rsidR="003C1210" w:rsidRPr="00105DF1" w:rsidRDefault="003C1210" w:rsidP="009A42FD">
            <w:pPr>
              <w:rPr>
                <w:color w:val="000000"/>
              </w:rPr>
            </w:pPr>
            <w:r w:rsidRPr="00105DF1">
              <w:rPr>
                <w:color w:val="000000"/>
              </w:rPr>
              <w:t>6. My academic advisor is approachable.</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14. Library resources and services are adequate.</w:t>
            </w:r>
          </w:p>
        </w:tc>
      </w:tr>
      <w:tr w:rsidR="003C1210" w:rsidRPr="00105DF1" w:rsidTr="009A42FD">
        <w:tc>
          <w:tcPr>
            <w:tcW w:w="9090" w:type="dxa"/>
            <w:tcBorders>
              <w:top w:val="nil"/>
              <w:left w:val="nil"/>
              <w:bottom w:val="nil"/>
              <w:right w:val="nil"/>
            </w:tcBorders>
            <w:shd w:val="clear" w:color="auto" w:fill="80561B"/>
            <w:tcMar>
              <w:top w:w="36" w:type="dxa"/>
              <w:left w:w="120" w:type="dxa"/>
              <w:bottom w:w="36" w:type="dxa"/>
              <w:right w:w="120" w:type="dxa"/>
            </w:tcMar>
            <w:hideMark/>
          </w:tcPr>
          <w:p w:rsidR="003C1210" w:rsidRPr="00105DF1" w:rsidRDefault="003C1210" w:rsidP="009A42FD">
            <w:pPr>
              <w:rPr>
                <w:b/>
                <w:bCs/>
                <w:color w:val="FFFFFF"/>
              </w:rPr>
            </w:pPr>
            <w:r w:rsidRPr="00105DF1">
              <w:rPr>
                <w:b/>
                <w:bCs/>
                <w:color w:val="FFFFFF"/>
              </w:rPr>
              <w:t>Higher Satisfaction vs. National Community Colleges</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31. The campus is safe and secure for all students.</w:t>
            </w:r>
          </w:p>
        </w:tc>
      </w:tr>
      <w:tr w:rsidR="003C1210" w:rsidRPr="00105DF1" w:rsidTr="009A42FD">
        <w:tc>
          <w:tcPr>
            <w:tcW w:w="9090" w:type="dxa"/>
            <w:tcBorders>
              <w:top w:val="nil"/>
              <w:left w:val="nil"/>
              <w:bottom w:val="nil"/>
              <w:right w:val="nil"/>
            </w:tcBorders>
            <w:tcMar>
              <w:top w:w="36" w:type="dxa"/>
              <w:left w:w="120" w:type="dxa"/>
              <w:bottom w:w="36" w:type="dxa"/>
              <w:right w:w="120" w:type="dxa"/>
            </w:tcMar>
            <w:hideMark/>
          </w:tcPr>
          <w:p w:rsidR="003C1210" w:rsidRPr="00105DF1" w:rsidRDefault="003C1210" w:rsidP="009A42FD">
            <w:pPr>
              <w:rPr>
                <w:color w:val="000000"/>
              </w:rPr>
            </w:pPr>
            <w:r w:rsidRPr="00105DF1">
              <w:rPr>
                <w:color w:val="000000"/>
              </w:rPr>
              <w:t>70. I am able to experience intellectual growth here.</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58. Nearly all of the faculty are knowledgeable in their fields.</w:t>
            </w:r>
          </w:p>
        </w:tc>
      </w:tr>
      <w:tr w:rsidR="003C1210" w:rsidRPr="00105DF1" w:rsidTr="009A42FD">
        <w:tc>
          <w:tcPr>
            <w:tcW w:w="9090" w:type="dxa"/>
            <w:tcBorders>
              <w:top w:val="nil"/>
              <w:left w:val="nil"/>
              <w:bottom w:val="nil"/>
              <w:right w:val="nil"/>
            </w:tcBorders>
            <w:tcMar>
              <w:top w:w="36" w:type="dxa"/>
              <w:left w:w="120" w:type="dxa"/>
              <w:bottom w:w="36" w:type="dxa"/>
              <w:right w:w="120" w:type="dxa"/>
            </w:tcMar>
            <w:hideMark/>
          </w:tcPr>
          <w:p w:rsidR="003C1210" w:rsidRPr="00105DF1" w:rsidRDefault="003C1210" w:rsidP="009A42FD">
            <w:pPr>
              <w:rPr>
                <w:color w:val="000000"/>
              </w:rPr>
            </w:pPr>
            <w:r w:rsidRPr="00105DF1">
              <w:rPr>
                <w:color w:val="000000"/>
              </w:rPr>
              <w:t>6. My academic advisor is approachable.</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14. Library resources and services are adequate.</w:t>
            </w:r>
          </w:p>
        </w:tc>
      </w:tr>
      <w:tr w:rsidR="003C1210" w:rsidRPr="00105DF1" w:rsidTr="009A42FD">
        <w:tc>
          <w:tcPr>
            <w:tcW w:w="9090" w:type="dxa"/>
            <w:tcBorders>
              <w:top w:val="nil"/>
              <w:left w:val="nil"/>
              <w:bottom w:val="nil"/>
              <w:right w:val="nil"/>
            </w:tcBorders>
            <w:shd w:val="clear" w:color="auto" w:fill="80561B"/>
            <w:tcMar>
              <w:top w:w="36" w:type="dxa"/>
              <w:left w:w="120" w:type="dxa"/>
              <w:bottom w:w="36" w:type="dxa"/>
              <w:right w:w="120" w:type="dxa"/>
            </w:tcMar>
            <w:hideMark/>
          </w:tcPr>
          <w:p w:rsidR="003C1210" w:rsidRPr="00105DF1" w:rsidRDefault="003C1210" w:rsidP="009A42FD">
            <w:pPr>
              <w:rPr>
                <w:b/>
                <w:bCs/>
                <w:color w:val="FFFFFF"/>
              </w:rPr>
            </w:pPr>
            <w:r w:rsidRPr="00105DF1">
              <w:rPr>
                <w:b/>
                <w:bCs/>
                <w:color w:val="FFFFFF"/>
              </w:rPr>
              <w:t>Higher Importance vs. National Community Colleges</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31. The campus is safe and secure for all students.</w:t>
            </w:r>
          </w:p>
        </w:tc>
      </w:tr>
      <w:tr w:rsidR="003C1210" w:rsidRPr="00105DF1" w:rsidTr="009A42FD">
        <w:tc>
          <w:tcPr>
            <w:tcW w:w="9090" w:type="dxa"/>
            <w:tcBorders>
              <w:top w:val="nil"/>
              <w:left w:val="nil"/>
              <w:bottom w:val="nil"/>
              <w:right w:val="nil"/>
            </w:tcBorders>
            <w:tcMar>
              <w:top w:w="36" w:type="dxa"/>
              <w:left w:w="120" w:type="dxa"/>
              <w:bottom w:w="36" w:type="dxa"/>
              <w:right w:w="120" w:type="dxa"/>
            </w:tcMar>
            <w:hideMark/>
          </w:tcPr>
          <w:p w:rsidR="003C1210" w:rsidRPr="00105DF1" w:rsidRDefault="003C1210" w:rsidP="009A42FD">
            <w:pPr>
              <w:rPr>
                <w:color w:val="000000"/>
              </w:rPr>
            </w:pPr>
            <w:r w:rsidRPr="00105DF1">
              <w:rPr>
                <w:color w:val="000000"/>
              </w:rPr>
              <w:t>70. I am able to experience intellectual growth here.</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58. Nearly all of the faculty are knowledgeable in their fields.</w:t>
            </w:r>
          </w:p>
        </w:tc>
      </w:tr>
      <w:tr w:rsidR="003C1210" w:rsidRPr="00105DF1" w:rsidTr="009A42FD">
        <w:tc>
          <w:tcPr>
            <w:tcW w:w="9090" w:type="dxa"/>
            <w:tcBorders>
              <w:top w:val="nil"/>
              <w:left w:val="nil"/>
              <w:bottom w:val="nil"/>
              <w:right w:val="nil"/>
            </w:tcBorders>
            <w:tcMar>
              <w:top w:w="36" w:type="dxa"/>
              <w:left w:w="120" w:type="dxa"/>
              <w:bottom w:w="36" w:type="dxa"/>
              <w:right w:w="120" w:type="dxa"/>
            </w:tcMar>
            <w:hideMark/>
          </w:tcPr>
          <w:p w:rsidR="003C1210" w:rsidRPr="00105DF1" w:rsidRDefault="003C1210" w:rsidP="009A42FD">
            <w:pPr>
              <w:rPr>
                <w:color w:val="000000"/>
              </w:rPr>
            </w:pPr>
            <w:r w:rsidRPr="00105DF1">
              <w:rPr>
                <w:color w:val="000000"/>
              </w:rPr>
              <w:t>6. My academic advisor is approachable.</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14. Library resources and services are adequate.</w:t>
            </w:r>
          </w:p>
        </w:tc>
      </w:tr>
      <w:tr w:rsidR="003C1210" w:rsidRPr="00105DF1" w:rsidTr="009A42FD">
        <w:tc>
          <w:tcPr>
            <w:tcW w:w="9090" w:type="dxa"/>
            <w:tcBorders>
              <w:top w:val="nil"/>
              <w:left w:val="nil"/>
              <w:bottom w:val="nil"/>
              <w:right w:val="nil"/>
            </w:tcBorders>
            <w:shd w:val="clear" w:color="auto" w:fill="80561B"/>
            <w:tcMar>
              <w:top w:w="36" w:type="dxa"/>
              <w:left w:w="120" w:type="dxa"/>
              <w:bottom w:w="36" w:type="dxa"/>
              <w:right w:w="120" w:type="dxa"/>
            </w:tcMar>
            <w:hideMark/>
          </w:tcPr>
          <w:p w:rsidR="003C1210" w:rsidRPr="00105DF1" w:rsidRDefault="003C1210" w:rsidP="009A42FD">
            <w:pPr>
              <w:rPr>
                <w:b/>
                <w:bCs/>
                <w:color w:val="FFFFFF"/>
              </w:rPr>
            </w:pPr>
            <w:r w:rsidRPr="00105DF1">
              <w:rPr>
                <w:b/>
                <w:bCs/>
                <w:color w:val="FFFFFF"/>
              </w:rPr>
              <w:t>Challenges</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11. Security staff respond quickly in emergencies.</w:t>
            </w:r>
          </w:p>
        </w:tc>
      </w:tr>
      <w:tr w:rsidR="003C1210" w:rsidRPr="00105DF1" w:rsidTr="009A42FD">
        <w:tc>
          <w:tcPr>
            <w:tcW w:w="9090" w:type="dxa"/>
            <w:tcBorders>
              <w:top w:val="nil"/>
              <w:left w:val="nil"/>
              <w:bottom w:val="nil"/>
              <w:right w:val="nil"/>
            </w:tcBorders>
            <w:tcMar>
              <w:top w:w="36" w:type="dxa"/>
              <w:left w:w="120" w:type="dxa"/>
              <w:bottom w:w="36" w:type="dxa"/>
              <w:right w:w="120" w:type="dxa"/>
            </w:tcMar>
            <w:hideMark/>
          </w:tcPr>
          <w:p w:rsidR="003C1210" w:rsidRPr="00105DF1" w:rsidRDefault="003C1210" w:rsidP="009A42FD">
            <w:pPr>
              <w:rPr>
                <w:color w:val="000000"/>
              </w:rPr>
            </w:pPr>
            <w:r w:rsidRPr="00105DF1">
              <w:rPr>
                <w:color w:val="000000"/>
              </w:rPr>
              <w:t>15. I am able to register for classes I need with few conflicts.</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52. This school does whatever it can to help me reach my educational goals.</w:t>
            </w:r>
          </w:p>
        </w:tc>
      </w:tr>
      <w:tr w:rsidR="003C1210" w:rsidRPr="00105DF1" w:rsidTr="009A42FD">
        <w:tc>
          <w:tcPr>
            <w:tcW w:w="9090" w:type="dxa"/>
            <w:tcBorders>
              <w:top w:val="nil"/>
              <w:left w:val="nil"/>
              <w:bottom w:val="nil"/>
              <w:right w:val="nil"/>
            </w:tcBorders>
            <w:tcMar>
              <w:top w:w="36" w:type="dxa"/>
              <w:left w:w="120" w:type="dxa"/>
              <w:bottom w:w="36" w:type="dxa"/>
              <w:right w:w="120" w:type="dxa"/>
            </w:tcMar>
            <w:hideMark/>
          </w:tcPr>
          <w:p w:rsidR="003C1210" w:rsidRPr="00105DF1" w:rsidRDefault="003C1210" w:rsidP="009A42FD">
            <w:pPr>
              <w:rPr>
                <w:color w:val="000000"/>
              </w:rPr>
            </w:pPr>
            <w:r w:rsidRPr="00105DF1">
              <w:rPr>
                <w:color w:val="000000"/>
              </w:rPr>
              <w:t>7. Adequate financial aid is available for most students.</w:t>
            </w:r>
          </w:p>
        </w:tc>
      </w:tr>
      <w:tr w:rsidR="003C1210" w:rsidRPr="00105DF1" w:rsidTr="009A42FD">
        <w:tc>
          <w:tcPr>
            <w:tcW w:w="9090" w:type="dxa"/>
            <w:tcBorders>
              <w:top w:val="nil"/>
              <w:left w:val="nil"/>
              <w:bottom w:val="nil"/>
              <w:right w:val="nil"/>
            </w:tcBorders>
            <w:shd w:val="clear" w:color="auto" w:fill="F4ECE0"/>
            <w:tcMar>
              <w:top w:w="36" w:type="dxa"/>
              <w:left w:w="120" w:type="dxa"/>
              <w:bottom w:w="36" w:type="dxa"/>
              <w:right w:w="120" w:type="dxa"/>
            </w:tcMar>
            <w:hideMark/>
          </w:tcPr>
          <w:p w:rsidR="003C1210" w:rsidRPr="00105DF1" w:rsidRDefault="003C1210" w:rsidP="009A42FD">
            <w:pPr>
              <w:rPr>
                <w:color w:val="000000"/>
              </w:rPr>
            </w:pPr>
            <w:r w:rsidRPr="00105DF1">
              <w:rPr>
                <w:color w:val="000000"/>
              </w:rPr>
              <w:t>18. The quality of instruction I receive in most of my classes is excellent.</w:t>
            </w:r>
          </w:p>
        </w:tc>
      </w:tr>
    </w:tbl>
    <w:p w:rsidR="003C1210" w:rsidRDefault="003C1210" w:rsidP="003C1210">
      <w:pPr>
        <w:spacing w:after="160" w:line="259" w:lineRule="auto"/>
        <w:jc w:val="center"/>
        <w:rPr>
          <w:rFonts w:eastAsia="Calibri"/>
        </w:rPr>
      </w:pPr>
      <w:r>
        <w:rPr>
          <w:noProof/>
        </w:rPr>
        <w:lastRenderedPageBreak/>
        <w:drawing>
          <wp:inline distT="0" distB="0" distL="0" distR="0" wp14:anchorId="28FCE2CD" wp14:editId="0895A08D">
            <wp:extent cx="1554480" cy="1584374"/>
            <wp:effectExtent l="0" t="0" r="7620" b="0"/>
            <wp:docPr id="3" name="Picture 3" descr="Honoring campuses for excellence in student voter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noring campuses for excellence in student voter engag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564" cy="1603825"/>
                    </a:xfrm>
                    <a:prstGeom prst="rect">
                      <a:avLst/>
                    </a:prstGeom>
                    <a:noFill/>
                    <a:ln>
                      <a:noFill/>
                    </a:ln>
                  </pic:spPr>
                </pic:pic>
              </a:graphicData>
            </a:graphic>
          </wp:inline>
        </w:drawing>
      </w:r>
    </w:p>
    <w:p w:rsidR="003C1210" w:rsidRDefault="003C1210" w:rsidP="003C1210">
      <w:pPr>
        <w:ind w:firstLine="720"/>
        <w:rPr>
          <w:rFonts w:eastAsia="Calibri"/>
        </w:rPr>
      </w:pPr>
    </w:p>
    <w:p w:rsidR="003C1210" w:rsidRDefault="003C1210" w:rsidP="003C1210">
      <w:pPr>
        <w:ind w:firstLine="720"/>
        <w:rPr>
          <w:rFonts w:eastAsia="Calibri"/>
        </w:rPr>
      </w:pPr>
      <w:r w:rsidRPr="000F06A5">
        <w:rPr>
          <w:rFonts w:eastAsia="Calibri"/>
        </w:rPr>
        <w:t xml:space="preserve">The </w:t>
      </w:r>
      <w:r w:rsidRPr="00DE4DE1">
        <w:rPr>
          <w:rFonts w:eastAsia="Calibri"/>
          <w:i/>
        </w:rPr>
        <w:t>ALL IN Campus Democracy Challenge</w:t>
      </w:r>
      <w:r w:rsidRPr="000F06A5">
        <w:rPr>
          <w:rFonts w:eastAsia="Calibri"/>
        </w:rPr>
        <w:t xml:space="preserve"> believes that more young people need to partic</w:t>
      </w:r>
      <w:r>
        <w:rPr>
          <w:rFonts w:eastAsia="Calibri"/>
        </w:rPr>
        <w:t xml:space="preserve">ipate in the electoral process.  </w:t>
      </w:r>
      <w:r w:rsidRPr="000F06A5">
        <w:rPr>
          <w:rFonts w:eastAsia="Calibri"/>
        </w:rPr>
        <w:t xml:space="preserve">By recognizing colleges and universities for their commitment to increasing student voting rates, this national awards program encourages institutions to help students form the habits of active and informed citizenship. </w:t>
      </w:r>
      <w:r>
        <w:rPr>
          <w:rFonts w:eastAsia="Calibri"/>
        </w:rPr>
        <w:t xml:space="preserve"> </w:t>
      </w:r>
      <w:r w:rsidRPr="000F06A5">
        <w:rPr>
          <w:rFonts w:eastAsia="Calibri"/>
        </w:rPr>
        <w:t xml:space="preserve">Hundreds of </w:t>
      </w:r>
      <w:r>
        <w:rPr>
          <w:rFonts w:eastAsia="Calibri"/>
        </w:rPr>
        <w:t xml:space="preserve">colleges and universities joined the Challenge and </w:t>
      </w:r>
      <w:r w:rsidRPr="000F06A5">
        <w:rPr>
          <w:rFonts w:eastAsia="Calibri"/>
        </w:rPr>
        <w:t xml:space="preserve">committed to making democratic participation a core value on their campuses. </w:t>
      </w:r>
      <w:r>
        <w:rPr>
          <w:rFonts w:eastAsia="Calibri"/>
        </w:rPr>
        <w:t xml:space="preserve"> </w:t>
      </w:r>
      <w:r w:rsidRPr="000F06A5">
        <w:rPr>
          <w:rFonts w:eastAsia="Calibri"/>
        </w:rPr>
        <w:t>Together, they are cultivating generations of engaged citizens who are essential to a healthy democracy.</w:t>
      </w:r>
    </w:p>
    <w:p w:rsidR="003C1210" w:rsidRDefault="003C1210" w:rsidP="003C1210">
      <w:pPr>
        <w:ind w:firstLine="720"/>
        <w:rPr>
          <w:rFonts w:eastAsia="Calibri"/>
        </w:rPr>
      </w:pPr>
      <w:r w:rsidRPr="00FC6D54">
        <w:rPr>
          <w:rFonts w:eastAsia="Calibri"/>
        </w:rPr>
        <w:t>Sauk students, staff, and faculty leaders as well as campus organizations (most notably the Social Justice Club and the Student Government Association) worked together before the November 2016 election to increase the number of Sauk students who are democratically engaged and to make democratic engagement a normal part of college life at SVCC.</w:t>
      </w:r>
    </w:p>
    <w:p w:rsidR="003C1210" w:rsidRDefault="003C1210" w:rsidP="003C1210">
      <w:pPr>
        <w:ind w:firstLine="720"/>
        <w:rPr>
          <w:rFonts w:eastAsia="Calibri"/>
          <w:b/>
        </w:rPr>
      </w:pPr>
    </w:p>
    <w:p w:rsidR="003C1210" w:rsidRDefault="003C1210" w:rsidP="003C1210">
      <w:pPr>
        <w:ind w:firstLine="720"/>
        <w:rPr>
          <w:rFonts w:eastAsia="Calibri"/>
          <w:b/>
        </w:rPr>
      </w:pPr>
      <w:r w:rsidRPr="00DE4DE1">
        <w:rPr>
          <w:rFonts w:eastAsia="Calibri"/>
          <w:b/>
        </w:rPr>
        <w:t>Sauk Valley Community College is the winner of two of the ALL IN Challenge's Best in Class Awards</w:t>
      </w:r>
      <w:r>
        <w:rPr>
          <w:rFonts w:eastAsia="Calibri"/>
          <w:b/>
        </w:rPr>
        <w:t xml:space="preserve">:  </w:t>
      </w:r>
    </w:p>
    <w:p w:rsidR="003C1210" w:rsidRDefault="003C1210" w:rsidP="003C1210">
      <w:pPr>
        <w:ind w:firstLine="720"/>
        <w:rPr>
          <w:rFonts w:eastAsia="Calibri"/>
          <w:b/>
        </w:rPr>
      </w:pPr>
    </w:p>
    <w:p w:rsidR="003C1210" w:rsidRDefault="003C1210" w:rsidP="003C1210">
      <w:pPr>
        <w:pStyle w:val="ListParagraph"/>
        <w:numPr>
          <w:ilvl w:val="0"/>
          <w:numId w:val="1"/>
        </w:numPr>
        <w:rPr>
          <w:rFonts w:eastAsia="Calibri"/>
          <w:b/>
        </w:rPr>
      </w:pPr>
      <w:r>
        <w:rPr>
          <w:rFonts w:eastAsia="Calibri"/>
          <w:b/>
        </w:rPr>
        <w:t>H</w:t>
      </w:r>
      <w:r w:rsidRPr="00DE4DE1">
        <w:rPr>
          <w:rFonts w:eastAsia="Calibri"/>
          <w:b/>
        </w:rPr>
        <w:t xml:space="preserve">ighest voting rate </w:t>
      </w:r>
      <w:r>
        <w:rPr>
          <w:rFonts w:eastAsia="Calibri"/>
          <w:b/>
        </w:rPr>
        <w:t xml:space="preserve">(51.6%) in the 2016 election </w:t>
      </w:r>
      <w:r w:rsidRPr="00DE4DE1">
        <w:rPr>
          <w:rFonts w:eastAsia="Calibri"/>
          <w:b/>
        </w:rPr>
        <w:t>among participating small, two-yea</w:t>
      </w:r>
      <w:r>
        <w:rPr>
          <w:rFonts w:eastAsia="Calibri"/>
          <w:b/>
        </w:rPr>
        <w:t>r, public institutions; and</w:t>
      </w:r>
    </w:p>
    <w:p w:rsidR="003C1210" w:rsidRDefault="003C1210" w:rsidP="003C1210">
      <w:pPr>
        <w:pStyle w:val="ListParagraph"/>
        <w:ind w:left="1440"/>
        <w:rPr>
          <w:rFonts w:eastAsia="Calibri"/>
          <w:b/>
        </w:rPr>
      </w:pPr>
    </w:p>
    <w:p w:rsidR="008225C9" w:rsidRDefault="003C1210" w:rsidP="003C1210">
      <w:pPr>
        <w:rPr>
          <w:rFonts w:eastAsia="Calibri"/>
          <w:b/>
        </w:rPr>
      </w:pPr>
      <w:r>
        <w:rPr>
          <w:rFonts w:eastAsia="Calibri"/>
          <w:b/>
        </w:rPr>
        <w:t>M</w:t>
      </w:r>
      <w:r w:rsidRPr="00DE4DE1">
        <w:rPr>
          <w:rFonts w:eastAsia="Calibri"/>
          <w:b/>
        </w:rPr>
        <w:t xml:space="preserve">ost improved </w:t>
      </w:r>
      <w:r>
        <w:rPr>
          <w:rFonts w:eastAsia="Calibri"/>
          <w:b/>
        </w:rPr>
        <w:t xml:space="preserve">voting rate (5.8%) from the 2012 and the 2016 elections among </w:t>
      </w:r>
      <w:r w:rsidRPr="00DE4DE1">
        <w:rPr>
          <w:rFonts w:eastAsia="Calibri"/>
          <w:b/>
        </w:rPr>
        <w:t xml:space="preserve">participating small, </w:t>
      </w:r>
      <w:proofErr w:type="gramStart"/>
      <w:r w:rsidRPr="00DE4DE1">
        <w:rPr>
          <w:rFonts w:eastAsia="Calibri"/>
          <w:b/>
        </w:rPr>
        <w:t>t</w:t>
      </w:r>
      <w:r>
        <w:rPr>
          <w:rFonts w:eastAsia="Calibri"/>
          <w:b/>
        </w:rPr>
        <w:t>wo-</w:t>
      </w:r>
      <w:proofErr w:type="gramEnd"/>
      <w:r>
        <w:rPr>
          <w:rFonts w:eastAsia="Calibri"/>
          <w:b/>
        </w:rPr>
        <w:t>year, public institutions.</w:t>
      </w: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Default="00F960DD" w:rsidP="003C1210">
      <w:pPr>
        <w:rPr>
          <w:rFonts w:eastAsia="Calibri"/>
          <w:b/>
        </w:rPr>
      </w:pPr>
    </w:p>
    <w:p w:rsidR="00F960DD" w:rsidRPr="00DE4DE1" w:rsidRDefault="00F960DD" w:rsidP="00F960DD">
      <w:pPr>
        <w:jc w:val="center"/>
        <w:rPr>
          <w:b/>
        </w:rPr>
      </w:pPr>
      <w:r w:rsidRPr="00DE4DE1">
        <w:rPr>
          <w:b/>
        </w:rPr>
        <w:lastRenderedPageBreak/>
        <w:t>Sauk Valley Community College</w:t>
      </w:r>
    </w:p>
    <w:p w:rsidR="00F960DD" w:rsidRPr="00DE4DE1" w:rsidRDefault="00F960DD" w:rsidP="00F960DD">
      <w:pPr>
        <w:jc w:val="center"/>
        <w:rPr>
          <w:b/>
        </w:rPr>
      </w:pPr>
      <w:r w:rsidRPr="00DE4DE1">
        <w:rPr>
          <w:b/>
        </w:rPr>
        <w:t>November 27, 2017</w:t>
      </w:r>
    </w:p>
    <w:p w:rsidR="00F960DD" w:rsidRPr="00DE4DE1" w:rsidRDefault="00F960DD" w:rsidP="00F960DD">
      <w:pPr>
        <w:jc w:val="center"/>
        <w:rPr>
          <w:b/>
        </w:rPr>
      </w:pPr>
    </w:p>
    <w:p w:rsidR="00F960DD" w:rsidRPr="00DE4DE1" w:rsidRDefault="00F960DD" w:rsidP="00F960DD">
      <w:pPr>
        <w:jc w:val="center"/>
        <w:rPr>
          <w:b/>
        </w:rPr>
      </w:pPr>
    </w:p>
    <w:p w:rsidR="00F960DD" w:rsidRPr="00DE4DE1" w:rsidRDefault="00F960DD" w:rsidP="00F960DD">
      <w:pPr>
        <w:jc w:val="right"/>
      </w:pPr>
      <w:r w:rsidRPr="00DE4DE1">
        <w:rPr>
          <w:b/>
          <w:u w:val="single"/>
        </w:rPr>
        <w:t>Agenda Item 3.1.2</w:t>
      </w:r>
    </w:p>
    <w:p w:rsidR="00F960DD" w:rsidRPr="00DE4DE1" w:rsidRDefault="00F960DD" w:rsidP="00F960DD"/>
    <w:p w:rsidR="00F960DD" w:rsidRPr="00DE4DE1" w:rsidRDefault="00F960DD" w:rsidP="00F960DD">
      <w:pPr>
        <w:ind w:left="2160" w:hanging="2160"/>
        <w:rPr>
          <w:b/>
        </w:rPr>
      </w:pPr>
      <w:r w:rsidRPr="00DE4DE1">
        <w:rPr>
          <w:b/>
        </w:rPr>
        <w:t>Topic:</w:t>
      </w:r>
      <w:r w:rsidRPr="00DE4DE1">
        <w:rPr>
          <w:b/>
        </w:rPr>
        <w:tab/>
        <w:t>Marketing Videos</w:t>
      </w:r>
    </w:p>
    <w:p w:rsidR="00F960DD" w:rsidRPr="00DE4DE1" w:rsidRDefault="00F960DD" w:rsidP="00F960DD">
      <w:pPr>
        <w:ind w:left="2160" w:hanging="2160"/>
        <w:rPr>
          <w:b/>
        </w:rPr>
      </w:pPr>
    </w:p>
    <w:p w:rsidR="00F960DD" w:rsidRPr="00FC6D54" w:rsidRDefault="00F960DD" w:rsidP="00F960DD">
      <w:pPr>
        <w:ind w:left="2160" w:hanging="2160"/>
        <w:rPr>
          <w:b/>
        </w:rPr>
      </w:pPr>
      <w:r w:rsidRPr="00FC6D54">
        <w:rPr>
          <w:b/>
        </w:rPr>
        <w:t>Strategic Direction:  Goal 1, Objective 2 – Be responsive to community needs by offering new and appropriate academic programs and classes</w:t>
      </w:r>
    </w:p>
    <w:p w:rsidR="00F960DD" w:rsidRPr="00FC6D54" w:rsidRDefault="00F960DD" w:rsidP="00F960DD">
      <w:pPr>
        <w:rPr>
          <w:b/>
        </w:rPr>
      </w:pPr>
    </w:p>
    <w:p w:rsidR="00F960DD" w:rsidRPr="00FC6D54" w:rsidRDefault="00F960DD" w:rsidP="00F960DD">
      <w:pPr>
        <w:ind w:left="2160" w:hanging="2160"/>
        <w:rPr>
          <w:b/>
        </w:rPr>
      </w:pPr>
      <w:r w:rsidRPr="00FC6D54">
        <w:rPr>
          <w:b/>
        </w:rPr>
        <w:t>Presented By:</w:t>
      </w:r>
      <w:r w:rsidRPr="00FC6D54">
        <w:rPr>
          <w:b/>
        </w:rPr>
        <w:tab/>
        <w:t xml:space="preserve">Dr. David </w:t>
      </w:r>
      <w:proofErr w:type="spellStart"/>
      <w:r w:rsidRPr="00FC6D54">
        <w:rPr>
          <w:b/>
        </w:rPr>
        <w:t>Hellmich</w:t>
      </w:r>
      <w:proofErr w:type="spellEnd"/>
      <w:r w:rsidRPr="00FC6D54">
        <w:rPr>
          <w:b/>
        </w:rPr>
        <w:t xml:space="preserve"> and Dr. Steve Nunez</w:t>
      </w:r>
    </w:p>
    <w:p w:rsidR="00F960DD" w:rsidRPr="00FC6D54" w:rsidRDefault="00F960DD" w:rsidP="00F960DD">
      <w:pPr>
        <w:rPr>
          <w:b/>
        </w:rPr>
      </w:pPr>
    </w:p>
    <w:p w:rsidR="00F960DD" w:rsidRPr="00FC6D54" w:rsidRDefault="00F960DD" w:rsidP="00F960DD">
      <w:pPr>
        <w:spacing w:line="259" w:lineRule="auto"/>
        <w:rPr>
          <w:rFonts w:eastAsia="Calibri"/>
          <w:b/>
        </w:rPr>
      </w:pPr>
      <w:r w:rsidRPr="00FC6D54">
        <w:rPr>
          <w:rFonts w:eastAsia="Calibri"/>
          <w:b/>
        </w:rPr>
        <w:t>Presentation:</w:t>
      </w:r>
    </w:p>
    <w:p w:rsidR="00F960DD" w:rsidRPr="00FC6D54" w:rsidRDefault="00F960DD" w:rsidP="00F960DD">
      <w:pPr>
        <w:spacing w:line="259" w:lineRule="auto"/>
        <w:ind w:firstLine="720"/>
        <w:rPr>
          <w:rFonts w:eastAsia="Calibri"/>
        </w:rPr>
      </w:pPr>
      <w:r>
        <w:rPr>
          <w:rFonts w:eastAsia="Calibri"/>
        </w:rPr>
        <w:t>T</w:t>
      </w:r>
      <w:r w:rsidRPr="00FC6D54">
        <w:rPr>
          <w:rFonts w:eastAsia="Calibri"/>
        </w:rPr>
        <w:t>o support the expansion of both the business/customized training and community education departments and strategic objectives 1.4 and 1.5, the Marketing Department has been working wit</w:t>
      </w:r>
      <w:r>
        <w:rPr>
          <w:rFonts w:eastAsia="Calibri"/>
        </w:rPr>
        <w:t>h Comcast to develop two thirty-</w:t>
      </w:r>
      <w:r w:rsidRPr="00FC6D54">
        <w:rPr>
          <w:rFonts w:eastAsia="Calibri"/>
        </w:rPr>
        <w:t xml:space="preserve">second commercials to </w:t>
      </w:r>
      <w:proofErr w:type="gramStart"/>
      <w:r w:rsidRPr="00FC6D54">
        <w:rPr>
          <w:rFonts w:eastAsia="Calibri"/>
        </w:rPr>
        <w:t>be played</w:t>
      </w:r>
      <w:proofErr w:type="gramEnd"/>
      <w:r w:rsidRPr="00FC6D54">
        <w:rPr>
          <w:rFonts w:eastAsia="Calibri"/>
        </w:rPr>
        <w:t xml:space="preserve"> on television and social media outlets.  </w:t>
      </w:r>
      <w:r>
        <w:rPr>
          <w:rFonts w:eastAsia="Calibri"/>
        </w:rPr>
        <w:t>These will be the first</w:t>
      </w:r>
      <w:r w:rsidRPr="00FC6D54">
        <w:rPr>
          <w:rFonts w:eastAsia="Calibri"/>
        </w:rPr>
        <w:t xml:space="preserve"> commercials for their respective departments.</w:t>
      </w:r>
    </w:p>
    <w:p w:rsidR="00F960DD" w:rsidRPr="00BF6E08" w:rsidRDefault="00F960DD" w:rsidP="00F960DD">
      <w:pPr>
        <w:spacing w:after="160" w:line="259" w:lineRule="auto"/>
        <w:rPr>
          <w:rFonts w:eastAsia="Calibri"/>
          <w:highlight w:val="yellow"/>
        </w:rPr>
      </w:pPr>
      <w:r w:rsidRPr="00BF6E08">
        <w:rPr>
          <w:rFonts w:eastAsia="Calibri"/>
          <w:highlight w:val="yellow"/>
        </w:rPr>
        <w:br w:type="page"/>
      </w:r>
    </w:p>
    <w:p w:rsidR="00F960DD" w:rsidRPr="00BF6E08" w:rsidRDefault="00F960DD" w:rsidP="00F960DD">
      <w:pPr>
        <w:spacing w:after="160" w:line="259" w:lineRule="auto"/>
        <w:rPr>
          <w:rFonts w:eastAsia="Calibri"/>
          <w:highlight w:val="yellow"/>
        </w:rPr>
      </w:pPr>
    </w:p>
    <w:p w:rsidR="00F960DD" w:rsidRPr="00DE4DE1" w:rsidRDefault="00F960DD" w:rsidP="00F960DD">
      <w:pPr>
        <w:jc w:val="center"/>
        <w:rPr>
          <w:b/>
        </w:rPr>
      </w:pPr>
      <w:r w:rsidRPr="00DE4DE1">
        <w:rPr>
          <w:b/>
        </w:rPr>
        <w:t>Sauk Valley Community College</w:t>
      </w:r>
    </w:p>
    <w:p w:rsidR="00F960DD" w:rsidRPr="00DE4DE1" w:rsidRDefault="00F960DD" w:rsidP="00F960DD">
      <w:pPr>
        <w:jc w:val="center"/>
        <w:rPr>
          <w:b/>
        </w:rPr>
      </w:pPr>
      <w:r w:rsidRPr="00DE4DE1">
        <w:rPr>
          <w:b/>
        </w:rPr>
        <w:t>November 27, 2017</w:t>
      </w:r>
    </w:p>
    <w:p w:rsidR="00F960DD" w:rsidRPr="00DE4DE1" w:rsidRDefault="00F960DD" w:rsidP="00F960DD">
      <w:pPr>
        <w:jc w:val="center"/>
        <w:rPr>
          <w:b/>
        </w:rPr>
      </w:pPr>
    </w:p>
    <w:p w:rsidR="00F960DD" w:rsidRPr="00DE4DE1" w:rsidRDefault="00F960DD" w:rsidP="00F960DD">
      <w:pPr>
        <w:jc w:val="center"/>
        <w:rPr>
          <w:b/>
        </w:rPr>
      </w:pPr>
    </w:p>
    <w:p w:rsidR="00F960DD" w:rsidRPr="00DE4DE1" w:rsidRDefault="00F960DD" w:rsidP="00F960DD">
      <w:pPr>
        <w:jc w:val="right"/>
      </w:pPr>
      <w:r w:rsidRPr="00DE4DE1">
        <w:rPr>
          <w:b/>
          <w:u w:val="single"/>
        </w:rPr>
        <w:t>Agenda Item 3.1.3</w:t>
      </w:r>
    </w:p>
    <w:p w:rsidR="00F960DD" w:rsidRPr="00DE4DE1" w:rsidRDefault="00F960DD" w:rsidP="00F960DD"/>
    <w:p w:rsidR="00F960DD" w:rsidRPr="00DE4DE1" w:rsidRDefault="00F960DD" w:rsidP="00F960DD">
      <w:pPr>
        <w:ind w:left="2160" w:hanging="2160"/>
        <w:rPr>
          <w:b/>
        </w:rPr>
      </w:pPr>
      <w:r w:rsidRPr="00DE4DE1">
        <w:rPr>
          <w:b/>
        </w:rPr>
        <w:t>Topic:</w:t>
      </w:r>
      <w:r w:rsidRPr="00DE4DE1">
        <w:rPr>
          <w:b/>
        </w:rPr>
        <w:tab/>
        <w:t>New Fees Model</w:t>
      </w:r>
    </w:p>
    <w:p w:rsidR="00F960DD" w:rsidRPr="00DE4DE1" w:rsidRDefault="00F960DD" w:rsidP="00F960DD">
      <w:pPr>
        <w:rPr>
          <w:b/>
        </w:rPr>
      </w:pPr>
    </w:p>
    <w:p w:rsidR="00F960DD" w:rsidRPr="005F5E6A" w:rsidRDefault="00F960DD" w:rsidP="00F960DD">
      <w:pPr>
        <w:ind w:left="2160" w:hanging="2160"/>
        <w:rPr>
          <w:b/>
        </w:rPr>
      </w:pPr>
      <w:r w:rsidRPr="005F5E6A">
        <w:rPr>
          <w:b/>
        </w:rPr>
        <w:t>Strategic Direction:  Goal 1, Objective 3 – Be operationally efficient in order to maintain a low cost of attendance for students</w:t>
      </w:r>
    </w:p>
    <w:p w:rsidR="00F960DD" w:rsidRPr="005F5E6A" w:rsidRDefault="00F960DD" w:rsidP="00F960DD">
      <w:pPr>
        <w:rPr>
          <w:b/>
        </w:rPr>
      </w:pPr>
    </w:p>
    <w:p w:rsidR="00F960DD" w:rsidRPr="005F5E6A" w:rsidRDefault="00F960DD" w:rsidP="00F960DD">
      <w:pPr>
        <w:ind w:left="2160" w:hanging="2160"/>
        <w:rPr>
          <w:b/>
        </w:rPr>
      </w:pPr>
      <w:r w:rsidRPr="005F5E6A">
        <w:rPr>
          <w:b/>
        </w:rPr>
        <w:t>Presented By:</w:t>
      </w:r>
      <w:r w:rsidRPr="005F5E6A">
        <w:rPr>
          <w:b/>
        </w:rPr>
        <w:tab/>
        <w:t xml:space="preserve">Dr. David </w:t>
      </w:r>
      <w:proofErr w:type="spellStart"/>
      <w:r w:rsidRPr="005F5E6A">
        <w:rPr>
          <w:b/>
        </w:rPr>
        <w:t>Hellmich</w:t>
      </w:r>
      <w:proofErr w:type="spellEnd"/>
      <w:r w:rsidRPr="005F5E6A">
        <w:rPr>
          <w:b/>
        </w:rPr>
        <w:t xml:space="preserve">, Dr. Jon </w:t>
      </w:r>
      <w:proofErr w:type="spellStart"/>
      <w:r w:rsidRPr="005F5E6A">
        <w:rPr>
          <w:b/>
        </w:rPr>
        <w:t>Mandrell</w:t>
      </w:r>
      <w:proofErr w:type="spellEnd"/>
      <w:r w:rsidRPr="005F5E6A">
        <w:rPr>
          <w:b/>
        </w:rPr>
        <w:t>, and Melissa Dye</w:t>
      </w:r>
    </w:p>
    <w:p w:rsidR="00F960DD" w:rsidRPr="005F5E6A" w:rsidRDefault="00F960DD" w:rsidP="00F960DD">
      <w:pPr>
        <w:rPr>
          <w:b/>
        </w:rPr>
      </w:pPr>
    </w:p>
    <w:p w:rsidR="00F960DD" w:rsidRPr="005F5E6A" w:rsidRDefault="00F960DD" w:rsidP="00F960DD">
      <w:pPr>
        <w:spacing w:line="259" w:lineRule="auto"/>
        <w:rPr>
          <w:rFonts w:eastAsia="Calibri"/>
          <w:b/>
        </w:rPr>
      </w:pPr>
      <w:r w:rsidRPr="005F5E6A">
        <w:rPr>
          <w:rFonts w:eastAsia="Calibri"/>
          <w:b/>
        </w:rPr>
        <w:t>Presentation:</w:t>
      </w:r>
    </w:p>
    <w:p w:rsidR="00F960DD" w:rsidRPr="005F5E6A" w:rsidRDefault="00F960DD" w:rsidP="00F960DD">
      <w:pPr>
        <w:spacing w:line="259" w:lineRule="auto"/>
        <w:ind w:firstLine="720"/>
        <w:rPr>
          <w:rFonts w:eastAsia="Calibri"/>
        </w:rPr>
      </w:pPr>
      <w:r w:rsidRPr="005F5E6A">
        <w:rPr>
          <w:rFonts w:eastAsia="Calibri"/>
        </w:rPr>
        <w:t xml:space="preserve">A task force was formed last academic year to take a comprehensive look at the College’s tuition and fees model.  Led by Janet </w:t>
      </w:r>
      <w:proofErr w:type="spellStart"/>
      <w:r w:rsidRPr="005F5E6A">
        <w:rPr>
          <w:rFonts w:eastAsia="Calibri"/>
        </w:rPr>
        <w:t>Matheney</w:t>
      </w:r>
      <w:proofErr w:type="spellEnd"/>
      <w:r w:rsidRPr="005F5E6A">
        <w:rPr>
          <w:rFonts w:eastAsia="Calibri"/>
        </w:rPr>
        <w:t xml:space="preserve"> and consisting of Melissa Dye, Jon </w:t>
      </w:r>
      <w:proofErr w:type="spellStart"/>
      <w:r w:rsidRPr="005F5E6A">
        <w:rPr>
          <w:rFonts w:eastAsia="Calibri"/>
        </w:rPr>
        <w:t>Mandrell</w:t>
      </w:r>
      <w:proofErr w:type="spellEnd"/>
      <w:r w:rsidRPr="005F5E6A">
        <w:rPr>
          <w:rFonts w:eastAsia="Calibri"/>
        </w:rPr>
        <w:t xml:space="preserve">, Pam </w:t>
      </w:r>
      <w:proofErr w:type="spellStart"/>
      <w:r w:rsidRPr="005F5E6A">
        <w:rPr>
          <w:rFonts w:eastAsia="Calibri"/>
        </w:rPr>
        <w:t>Medema</w:t>
      </w:r>
      <w:proofErr w:type="spellEnd"/>
      <w:r w:rsidRPr="005F5E6A">
        <w:rPr>
          <w:rFonts w:eastAsia="Calibri"/>
        </w:rPr>
        <w:t xml:space="preserve"> and Jennifer Schultz, this group looked at state and national community college tuition and fee</w:t>
      </w:r>
      <w:r>
        <w:rPr>
          <w:rFonts w:eastAsia="Calibri"/>
        </w:rPr>
        <w:t>s</w:t>
      </w:r>
      <w:r w:rsidRPr="005F5E6A">
        <w:rPr>
          <w:rFonts w:eastAsia="Calibri"/>
        </w:rPr>
        <w:t xml:space="preserve"> models and sought feedback from faculty and staff.</w:t>
      </w:r>
      <w:r>
        <w:rPr>
          <w:rFonts w:eastAsia="Calibri"/>
        </w:rPr>
        <w:t xml:space="preserve">  The College’s emerging new fees model </w:t>
      </w:r>
      <w:proofErr w:type="gramStart"/>
      <w:r>
        <w:rPr>
          <w:rFonts w:eastAsia="Calibri"/>
        </w:rPr>
        <w:t>will be reflected</w:t>
      </w:r>
      <w:proofErr w:type="gramEnd"/>
      <w:r>
        <w:rPr>
          <w:rFonts w:eastAsia="Calibri"/>
        </w:rPr>
        <w:t xml:space="preserve"> in fees to be considered by the Board at the upcoming February meeting.</w:t>
      </w:r>
    </w:p>
    <w:p w:rsidR="00F960DD" w:rsidRPr="005F5E6A" w:rsidRDefault="00F960DD" w:rsidP="00F960DD">
      <w:pPr>
        <w:spacing w:after="160" w:line="259" w:lineRule="auto"/>
        <w:rPr>
          <w:rFonts w:eastAsia="Calibri"/>
        </w:rPr>
      </w:pPr>
      <w:r w:rsidRPr="005F5E6A">
        <w:rPr>
          <w:rFonts w:eastAsia="Calibri"/>
        </w:rPr>
        <w:br w:type="page"/>
      </w:r>
    </w:p>
    <w:p w:rsidR="00F960DD" w:rsidRPr="00DE4DE1" w:rsidRDefault="00F960DD" w:rsidP="00F960DD">
      <w:pPr>
        <w:jc w:val="center"/>
        <w:rPr>
          <w:b/>
        </w:rPr>
      </w:pPr>
      <w:r w:rsidRPr="00DE4DE1">
        <w:rPr>
          <w:b/>
        </w:rPr>
        <w:lastRenderedPageBreak/>
        <w:t>Sauk Valley Community College</w:t>
      </w:r>
    </w:p>
    <w:p w:rsidR="00F960DD" w:rsidRPr="00DE4DE1" w:rsidRDefault="00F960DD" w:rsidP="00F960DD">
      <w:pPr>
        <w:jc w:val="center"/>
        <w:rPr>
          <w:b/>
        </w:rPr>
      </w:pPr>
      <w:r w:rsidRPr="00DE4DE1">
        <w:rPr>
          <w:b/>
        </w:rPr>
        <w:t>November 27, 2017</w:t>
      </w:r>
    </w:p>
    <w:p w:rsidR="00F960DD" w:rsidRPr="00DE4DE1" w:rsidRDefault="00F960DD" w:rsidP="00F960DD">
      <w:pPr>
        <w:jc w:val="center"/>
        <w:rPr>
          <w:b/>
        </w:rPr>
      </w:pPr>
    </w:p>
    <w:p w:rsidR="00F960DD" w:rsidRPr="00DE4DE1" w:rsidRDefault="00F960DD" w:rsidP="00F960DD">
      <w:pPr>
        <w:jc w:val="center"/>
        <w:rPr>
          <w:b/>
        </w:rPr>
      </w:pPr>
    </w:p>
    <w:p w:rsidR="00F960DD" w:rsidRPr="00DE4DE1" w:rsidRDefault="00F960DD" w:rsidP="00F960DD">
      <w:pPr>
        <w:jc w:val="right"/>
      </w:pPr>
      <w:r w:rsidRPr="00DE4DE1">
        <w:rPr>
          <w:b/>
          <w:u w:val="single"/>
        </w:rPr>
        <w:t>Agenda Item 3.1.4</w:t>
      </w:r>
    </w:p>
    <w:p w:rsidR="00F960DD" w:rsidRPr="00DE4DE1" w:rsidRDefault="00F960DD" w:rsidP="00F960DD"/>
    <w:p w:rsidR="00F960DD" w:rsidRPr="00DE4DE1" w:rsidRDefault="00F960DD" w:rsidP="00F960DD">
      <w:pPr>
        <w:ind w:left="2160" w:hanging="2160"/>
        <w:rPr>
          <w:b/>
        </w:rPr>
      </w:pPr>
      <w:r w:rsidRPr="00DE4DE1">
        <w:rPr>
          <w:b/>
        </w:rPr>
        <w:t>Topic:</w:t>
      </w:r>
      <w:r w:rsidRPr="00DE4DE1">
        <w:rPr>
          <w:b/>
        </w:rPr>
        <w:tab/>
      </w:r>
      <w:proofErr w:type="spellStart"/>
      <w:r w:rsidRPr="00CD4E18">
        <w:rPr>
          <w:b/>
        </w:rPr>
        <w:t>Clery</w:t>
      </w:r>
      <w:proofErr w:type="spellEnd"/>
      <w:r w:rsidRPr="00CD4E18">
        <w:rPr>
          <w:b/>
        </w:rPr>
        <w:t xml:space="preserve"> Safety and Security Report</w:t>
      </w:r>
    </w:p>
    <w:p w:rsidR="00F960DD" w:rsidRPr="00DE4DE1" w:rsidRDefault="00F960DD" w:rsidP="00F960DD">
      <w:pPr>
        <w:rPr>
          <w:b/>
        </w:rPr>
      </w:pPr>
    </w:p>
    <w:p w:rsidR="00F960DD" w:rsidRDefault="00F960DD" w:rsidP="00F960DD">
      <w:pPr>
        <w:ind w:left="2160" w:hanging="2160"/>
        <w:rPr>
          <w:b/>
        </w:rPr>
      </w:pPr>
      <w:r>
        <w:rPr>
          <w:b/>
        </w:rPr>
        <w:t xml:space="preserve">Ethical Values: </w:t>
      </w:r>
      <w:r>
        <w:rPr>
          <w:b/>
        </w:rPr>
        <w:tab/>
      </w:r>
      <w:r w:rsidRPr="00DE4DE1">
        <w:rPr>
          <w:b/>
        </w:rPr>
        <w:t>Sauk Valley Community College respects the worth and dignity of all people; stands for integrity and fairness; and encourages responsibility, accountability, and persistence in a caring, supportive environment.</w:t>
      </w:r>
    </w:p>
    <w:p w:rsidR="00F960DD" w:rsidRDefault="00F960DD" w:rsidP="00F960DD">
      <w:pPr>
        <w:ind w:left="2160" w:hanging="2160"/>
        <w:rPr>
          <w:b/>
        </w:rPr>
      </w:pPr>
    </w:p>
    <w:p w:rsidR="00F960DD" w:rsidRPr="00DE4DE1" w:rsidRDefault="00F960DD" w:rsidP="00F960DD">
      <w:pPr>
        <w:ind w:left="2160" w:hanging="2160"/>
        <w:rPr>
          <w:b/>
        </w:rPr>
      </w:pPr>
      <w:r w:rsidRPr="00DE4DE1">
        <w:rPr>
          <w:b/>
        </w:rPr>
        <w:t>Presented By:</w:t>
      </w:r>
      <w:r w:rsidRPr="00DE4DE1">
        <w:rPr>
          <w:b/>
        </w:rPr>
        <w:tab/>
        <w:t xml:space="preserve">Dr. David </w:t>
      </w:r>
      <w:proofErr w:type="spellStart"/>
      <w:r w:rsidRPr="00DE4DE1">
        <w:rPr>
          <w:b/>
        </w:rPr>
        <w:t>Hellmich</w:t>
      </w:r>
      <w:proofErr w:type="spellEnd"/>
      <w:r w:rsidRPr="00DE4DE1">
        <w:rPr>
          <w:b/>
        </w:rPr>
        <w:t xml:space="preserve"> and Frank Murphy</w:t>
      </w:r>
    </w:p>
    <w:p w:rsidR="00F960DD" w:rsidRPr="0073587F" w:rsidRDefault="00F960DD" w:rsidP="00F960DD">
      <w:pPr>
        <w:rPr>
          <w:b/>
        </w:rPr>
      </w:pPr>
    </w:p>
    <w:p w:rsidR="00F960DD" w:rsidRPr="0073587F" w:rsidRDefault="00F960DD" w:rsidP="00F960DD">
      <w:pPr>
        <w:spacing w:line="259" w:lineRule="auto"/>
        <w:rPr>
          <w:rFonts w:eastAsia="Calibri"/>
          <w:b/>
        </w:rPr>
      </w:pPr>
      <w:r w:rsidRPr="0073587F">
        <w:rPr>
          <w:rFonts w:eastAsia="Calibri"/>
          <w:b/>
        </w:rPr>
        <w:t>Presentation:</w:t>
      </w:r>
    </w:p>
    <w:p w:rsidR="00F960DD" w:rsidRPr="0073587F" w:rsidRDefault="00F960DD" w:rsidP="00F960DD">
      <w:pPr>
        <w:ind w:firstLine="720"/>
        <w:rPr>
          <w:i/>
          <w:shd w:val="clear" w:color="auto" w:fill="FFFFFF"/>
        </w:rPr>
      </w:pPr>
      <w:r w:rsidRPr="0073587F">
        <w:rPr>
          <w:i/>
          <w:shd w:val="clear" w:color="auto" w:fill="FFFFFF"/>
        </w:rPr>
        <w:t xml:space="preserve">Sauk Valley Community College Annual Security Report and Fire Safety Report </w:t>
      </w:r>
      <w:r w:rsidRPr="0073587F">
        <w:rPr>
          <w:shd w:val="clear" w:color="auto" w:fill="FFFFFF"/>
        </w:rPr>
        <w:t xml:space="preserve">is published in compliance with the Jeanne </w:t>
      </w:r>
      <w:proofErr w:type="spellStart"/>
      <w:r w:rsidRPr="0073587F">
        <w:rPr>
          <w:shd w:val="clear" w:color="auto" w:fill="FFFFFF"/>
        </w:rPr>
        <w:t>Clery</w:t>
      </w:r>
      <w:proofErr w:type="spellEnd"/>
      <w:r w:rsidRPr="0073587F">
        <w:rPr>
          <w:shd w:val="clear" w:color="auto" w:fill="FFFFFF"/>
        </w:rPr>
        <w:t xml:space="preserve"> Disclosure of Campus Security Policy and Campus Crime Statistics Act (“</w:t>
      </w:r>
      <w:proofErr w:type="spellStart"/>
      <w:r w:rsidRPr="0073587F">
        <w:rPr>
          <w:shd w:val="clear" w:color="auto" w:fill="FFFFFF"/>
        </w:rPr>
        <w:t>Clery</w:t>
      </w:r>
      <w:proofErr w:type="spellEnd"/>
      <w:r w:rsidRPr="0073587F">
        <w:rPr>
          <w:shd w:val="clear" w:color="auto" w:fill="FFFFFF"/>
        </w:rPr>
        <w:t xml:space="preserve"> Act”), the State of Illinois Campus Security Enhancement Act, and Violence </w:t>
      </w:r>
      <w:proofErr w:type="gramStart"/>
      <w:r w:rsidRPr="0073587F">
        <w:rPr>
          <w:shd w:val="clear" w:color="auto" w:fill="FFFFFF"/>
        </w:rPr>
        <w:t>Against</w:t>
      </w:r>
      <w:proofErr w:type="gramEnd"/>
      <w:r w:rsidRPr="0073587F">
        <w:rPr>
          <w:shd w:val="clear" w:color="auto" w:fill="FFFFFF"/>
        </w:rPr>
        <w:t xml:space="preserve"> Women Act (VAWA).</w:t>
      </w:r>
    </w:p>
    <w:p w:rsidR="00F960DD" w:rsidRDefault="00F960DD" w:rsidP="00F960DD">
      <w:pPr>
        <w:ind w:firstLine="720"/>
        <w:rPr>
          <w:b/>
        </w:rPr>
      </w:pPr>
      <w:r w:rsidRPr="0073587F">
        <w:rPr>
          <w:color w:val="222222"/>
        </w:rPr>
        <w:t>This report addresses Sauk’s</w:t>
      </w:r>
      <w:r w:rsidRPr="00D87178">
        <w:rPr>
          <w:color w:val="222222"/>
        </w:rPr>
        <w:t xml:space="preserve"> policies, procedures, and programs concerning safety and security. </w:t>
      </w:r>
      <w:r>
        <w:rPr>
          <w:color w:val="222222"/>
        </w:rPr>
        <w:t xml:space="preserve"> </w:t>
      </w:r>
      <w:r w:rsidRPr="00D87178">
        <w:rPr>
          <w:color w:val="222222"/>
        </w:rPr>
        <w:t>Statistics for three prior years are included for certain types of crimes reported to have occurred on campus and on public property immediately adjacent to the campus.</w:t>
      </w:r>
      <w:r w:rsidRPr="00D87178">
        <w:rPr>
          <w:rFonts w:ascii="Arial" w:hAnsi="Arial" w:cs="Arial"/>
          <w:noProof/>
          <w:color w:val="222222"/>
          <w:sz w:val="19"/>
          <w:szCs w:val="19"/>
        </w:rPr>
        <w:drawing>
          <wp:inline distT="0" distB="0" distL="0" distR="0" wp14:anchorId="21588B8D" wp14:editId="5CEE64C8">
            <wp:extent cx="7620" cy="7620"/>
            <wp:effectExtent l="0" t="0" r="0" b="0"/>
            <wp:docPr id="5"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color w:val="222222"/>
        </w:rPr>
        <w:t xml:space="preserve">  It is available on the College’s website at the following address: </w:t>
      </w:r>
      <w:hyperlink r:id="rId11" w:history="1">
        <w:r w:rsidRPr="005347F2">
          <w:rPr>
            <w:rStyle w:val="Hyperlink"/>
            <w:b/>
          </w:rPr>
          <w:t>https://www.svcc.edu/departments/irp/reporting/campus-security-report.pdf</w:t>
        </w:r>
      </w:hyperlink>
      <w:r w:rsidRPr="00CD4E18">
        <w:rPr>
          <w:b/>
        </w:rPr>
        <w:t xml:space="preserve"> </w:t>
      </w:r>
      <w:r>
        <w:rPr>
          <w:b/>
        </w:rPr>
        <w:t>.</w:t>
      </w:r>
    </w:p>
    <w:p w:rsidR="00F960DD" w:rsidRPr="00F960DD" w:rsidRDefault="00F960DD" w:rsidP="00F960DD">
      <w:pPr>
        <w:spacing w:after="160" w:line="259" w:lineRule="auto"/>
        <w:rPr>
          <w:b/>
        </w:rPr>
      </w:pPr>
      <w:bookmarkStart w:id="0" w:name="_GoBack"/>
      <w:bookmarkEnd w:id="0"/>
    </w:p>
    <w:sectPr w:rsidR="00F960DD" w:rsidRPr="00F96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123B1"/>
    <w:multiLevelType w:val="hybridMultilevel"/>
    <w:tmpl w:val="D5FCA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602416"/>
    <w:multiLevelType w:val="hybridMultilevel"/>
    <w:tmpl w:val="47621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10"/>
    <w:rsid w:val="00254E05"/>
    <w:rsid w:val="003C1210"/>
    <w:rsid w:val="008D5E6E"/>
    <w:rsid w:val="00F9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BDBE"/>
  <w15:chartTrackingRefBased/>
  <w15:docId w15:val="{45612059-18B1-41ED-8F10-05AE7D8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2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10"/>
    <w:pPr>
      <w:ind w:left="720"/>
    </w:pPr>
  </w:style>
  <w:style w:type="character" w:customStyle="1" w:styleId="il">
    <w:name w:val="il"/>
    <w:basedOn w:val="DefaultParagraphFont"/>
    <w:rsid w:val="003C1210"/>
  </w:style>
  <w:style w:type="character" w:styleId="Hyperlink">
    <w:name w:val="Hyperlink"/>
    <w:basedOn w:val="DefaultParagraphFont"/>
    <w:uiPriority w:val="99"/>
    <w:unhideWhenUsed/>
    <w:rsid w:val="003C1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ga.gov/legislation/publicacts/fulltext.asp?Name=097-0320&amp;GA=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svcc.edu/departments/irp/reporting/campus-security-report.pdf"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2017-11-21T19:55:00Z</dcterms:created>
  <dcterms:modified xsi:type="dcterms:W3CDTF">2017-11-21T19:56:00Z</dcterms:modified>
</cp:coreProperties>
</file>