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1917" w14:textId="05A8573F" w:rsidR="000667A2" w:rsidRDefault="000E3DD6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Via Zoom</w:t>
      </w:r>
    </w:p>
    <w:p w14:paraId="2627CC67" w14:textId="77777777" w:rsidR="000E3DD6" w:rsidRPr="0066706F" w:rsidRDefault="000E3DD6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8D9FF2" w14:textId="490BDDCD" w:rsidR="0066706F" w:rsidRP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6748D8D6" w14:textId="77777777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5FD94DF4" w:rsid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75FA23B2" w14:textId="77777777" w:rsidR="000E3DD6" w:rsidRDefault="000E3DD6" w:rsidP="000E3DD6">
      <w:pPr>
        <w:pStyle w:val="ListParagraph"/>
        <w:rPr>
          <w:rFonts w:cs="Arial"/>
          <w:sz w:val="22"/>
        </w:rPr>
      </w:pPr>
    </w:p>
    <w:p w14:paraId="1E9102FE" w14:textId="2C00AD10" w:rsidR="0066706F" w:rsidRPr="000E3DD6" w:rsidRDefault="000E3DD6" w:rsidP="00431836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0E3DD6">
        <w:rPr>
          <w:rFonts w:cs="Arial"/>
          <w:sz w:val="22"/>
        </w:rPr>
        <w:t>Approval of Executive Session Settlement Authority from the May 13 ICCRMC Executive Board Meeting</w:t>
      </w:r>
      <w:r>
        <w:rPr>
          <w:rFonts w:cs="Arial"/>
          <w:sz w:val="22"/>
        </w:rPr>
        <w:t xml:space="preserve"> Executive Session</w:t>
      </w:r>
      <w:r w:rsidRPr="000E3DD6">
        <w:rPr>
          <w:rFonts w:cs="Arial"/>
          <w:sz w:val="22"/>
        </w:rPr>
        <w:t>.</w:t>
      </w:r>
    </w:p>
    <w:p w14:paraId="354972F2" w14:textId="76461AE9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DCB861A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Adjournment</w:t>
      </w:r>
    </w:p>
    <w:p w14:paraId="10BFB2FF" w14:textId="5F5BF537" w:rsidR="0066706F" w:rsidRDefault="0066706F">
      <w:pPr>
        <w:rPr>
          <w:rFonts w:ascii="Arial" w:hAnsi="Arial" w:cs="Arial"/>
        </w:rPr>
      </w:pPr>
    </w:p>
    <w:p w14:paraId="65DB19CB" w14:textId="77777777" w:rsidR="004A1E0B" w:rsidRPr="0066706F" w:rsidRDefault="004A1E0B">
      <w:pPr>
        <w:rPr>
          <w:rFonts w:ascii="Arial" w:hAnsi="Arial" w:cs="Arial"/>
        </w:rPr>
      </w:pPr>
    </w:p>
    <w:sectPr w:rsidR="004A1E0B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5CE1" w14:textId="77777777" w:rsidR="00561429" w:rsidRDefault="00561429" w:rsidP="00BE32A1">
      <w:r>
        <w:separator/>
      </w:r>
    </w:p>
  </w:endnote>
  <w:endnote w:type="continuationSeparator" w:id="0">
    <w:p w14:paraId="26CF46E4" w14:textId="77777777" w:rsidR="00561429" w:rsidRDefault="00561429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E372" w14:textId="77777777" w:rsidR="00561429" w:rsidRDefault="00561429" w:rsidP="00BE32A1">
      <w:r>
        <w:separator/>
      </w:r>
    </w:p>
  </w:footnote>
  <w:footnote w:type="continuationSeparator" w:id="0">
    <w:p w14:paraId="6C971FD0" w14:textId="77777777" w:rsidR="00561429" w:rsidRDefault="00561429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26B2EF85" w14:textId="108267A0" w:rsidR="00BE32A1" w:rsidRDefault="00BE32A1" w:rsidP="00F75030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D62681">
      <w:rPr>
        <w:b/>
        <w:bCs/>
        <w:sz w:val="22"/>
      </w:rPr>
      <w:t xml:space="preserve">MAY </w:t>
    </w:r>
    <w:r w:rsidR="000E3DD6">
      <w:rPr>
        <w:b/>
        <w:bCs/>
        <w:sz w:val="22"/>
      </w:rPr>
      <w:t>20</w:t>
    </w:r>
    <w:r>
      <w:rPr>
        <w:b/>
        <w:bCs/>
        <w:sz w:val="22"/>
      </w:rPr>
      <w:t>, 202</w:t>
    </w:r>
    <w:r w:rsidR="00F75030">
      <w:rPr>
        <w:b/>
        <w:bCs/>
        <w:sz w:val="22"/>
      </w:rPr>
      <w:t>2</w:t>
    </w:r>
  </w:p>
  <w:p w14:paraId="75CE14C7" w14:textId="4DF520AC" w:rsidR="000E3DD6" w:rsidRDefault="000E3DD6" w:rsidP="00F75030">
    <w:pPr>
      <w:pStyle w:val="BodyText"/>
      <w:spacing w:after="0"/>
      <w:jc w:val="center"/>
    </w:pPr>
    <w:r w:rsidRPr="000E3DD6">
      <w:rPr>
        <w:b/>
        <w:bCs/>
        <w:sz w:val="22"/>
        <w:highlight w:val="yellow"/>
      </w:rPr>
      <w:t>Immediately Following the Full Board Meeting</w:t>
    </w: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25009918">
    <w:abstractNumId w:val="19"/>
  </w:num>
  <w:num w:numId="2" w16cid:durableId="537279727">
    <w:abstractNumId w:val="12"/>
  </w:num>
  <w:num w:numId="3" w16cid:durableId="2136633502">
    <w:abstractNumId w:val="10"/>
  </w:num>
  <w:num w:numId="4" w16cid:durableId="1730878844">
    <w:abstractNumId w:val="24"/>
  </w:num>
  <w:num w:numId="5" w16cid:durableId="430973649">
    <w:abstractNumId w:val="13"/>
  </w:num>
  <w:num w:numId="6" w16cid:durableId="449132506">
    <w:abstractNumId w:val="16"/>
  </w:num>
  <w:num w:numId="7" w16cid:durableId="574438851">
    <w:abstractNumId w:val="18"/>
  </w:num>
  <w:num w:numId="8" w16cid:durableId="502009631">
    <w:abstractNumId w:val="9"/>
  </w:num>
  <w:num w:numId="9" w16cid:durableId="1878202884">
    <w:abstractNumId w:val="7"/>
  </w:num>
  <w:num w:numId="10" w16cid:durableId="622737606">
    <w:abstractNumId w:val="6"/>
  </w:num>
  <w:num w:numId="11" w16cid:durableId="796221740">
    <w:abstractNumId w:val="5"/>
  </w:num>
  <w:num w:numId="12" w16cid:durableId="1582987074">
    <w:abstractNumId w:val="4"/>
  </w:num>
  <w:num w:numId="13" w16cid:durableId="869607611">
    <w:abstractNumId w:val="8"/>
  </w:num>
  <w:num w:numId="14" w16cid:durableId="37704665">
    <w:abstractNumId w:val="3"/>
  </w:num>
  <w:num w:numId="15" w16cid:durableId="672420768">
    <w:abstractNumId w:val="2"/>
  </w:num>
  <w:num w:numId="16" w16cid:durableId="1170372966">
    <w:abstractNumId w:val="1"/>
  </w:num>
  <w:num w:numId="17" w16cid:durableId="1988362686">
    <w:abstractNumId w:val="0"/>
  </w:num>
  <w:num w:numId="18" w16cid:durableId="197739256">
    <w:abstractNumId w:val="14"/>
  </w:num>
  <w:num w:numId="19" w16cid:durableId="1768765918">
    <w:abstractNumId w:val="15"/>
  </w:num>
  <w:num w:numId="20" w16cid:durableId="529341732">
    <w:abstractNumId w:val="20"/>
  </w:num>
  <w:num w:numId="21" w16cid:durableId="1588731073">
    <w:abstractNumId w:val="17"/>
  </w:num>
  <w:num w:numId="22" w16cid:durableId="936056778">
    <w:abstractNumId w:val="11"/>
  </w:num>
  <w:num w:numId="23" w16cid:durableId="659114266">
    <w:abstractNumId w:val="26"/>
  </w:num>
  <w:num w:numId="24" w16cid:durableId="1834492811">
    <w:abstractNumId w:val="25"/>
  </w:num>
  <w:num w:numId="25" w16cid:durableId="1164513549">
    <w:abstractNumId w:val="25"/>
  </w:num>
  <w:num w:numId="26" w16cid:durableId="1902518413">
    <w:abstractNumId w:val="23"/>
  </w:num>
  <w:num w:numId="27" w16cid:durableId="492186668">
    <w:abstractNumId w:val="22"/>
  </w:num>
  <w:num w:numId="28" w16cid:durableId="7435320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5421B"/>
    <w:rsid w:val="000667A2"/>
    <w:rsid w:val="000E3DD6"/>
    <w:rsid w:val="00114145"/>
    <w:rsid w:val="00125DED"/>
    <w:rsid w:val="0015248B"/>
    <w:rsid w:val="002C1EFF"/>
    <w:rsid w:val="00303F60"/>
    <w:rsid w:val="00355733"/>
    <w:rsid w:val="003603B9"/>
    <w:rsid w:val="003711EE"/>
    <w:rsid w:val="003F48A9"/>
    <w:rsid w:val="004A1E0B"/>
    <w:rsid w:val="004C4D47"/>
    <w:rsid w:val="004F18B3"/>
    <w:rsid w:val="00561429"/>
    <w:rsid w:val="00566D01"/>
    <w:rsid w:val="005F23F3"/>
    <w:rsid w:val="00645252"/>
    <w:rsid w:val="0066706F"/>
    <w:rsid w:val="00692C92"/>
    <w:rsid w:val="006C6BEF"/>
    <w:rsid w:val="006D3D74"/>
    <w:rsid w:val="007400DF"/>
    <w:rsid w:val="007C4E29"/>
    <w:rsid w:val="0083569A"/>
    <w:rsid w:val="00905669"/>
    <w:rsid w:val="00911BDB"/>
    <w:rsid w:val="009571D1"/>
    <w:rsid w:val="0097600E"/>
    <w:rsid w:val="00992E2D"/>
    <w:rsid w:val="00A2541A"/>
    <w:rsid w:val="00A25AA0"/>
    <w:rsid w:val="00A9204E"/>
    <w:rsid w:val="00AA253E"/>
    <w:rsid w:val="00B641BF"/>
    <w:rsid w:val="00B97DCF"/>
    <w:rsid w:val="00BE2ABB"/>
    <w:rsid w:val="00BE32A1"/>
    <w:rsid w:val="00CD2F0A"/>
    <w:rsid w:val="00CF3DF8"/>
    <w:rsid w:val="00D07D12"/>
    <w:rsid w:val="00D62681"/>
    <w:rsid w:val="00DD1045"/>
    <w:rsid w:val="00E85696"/>
    <w:rsid w:val="00E870AF"/>
    <w:rsid w:val="00F7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2</cp:revision>
  <cp:lastPrinted>2021-01-28T20:24:00Z</cp:lastPrinted>
  <dcterms:created xsi:type="dcterms:W3CDTF">2022-05-13T18:46:00Z</dcterms:created>
  <dcterms:modified xsi:type="dcterms:W3CDTF">2022-05-13T18:46:00Z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